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29A1" w14:textId="71E73C62" w:rsidR="00361D16" w:rsidRPr="00361D16" w:rsidRDefault="00361D16" w:rsidP="00361D16">
      <w:pPr>
        <w:jc w:val="center"/>
        <w:rPr>
          <w:b/>
          <w:bCs/>
        </w:rPr>
      </w:pPr>
      <w:r w:rsidRPr="00361D16">
        <w:rPr>
          <w:b/>
          <w:bCs/>
        </w:rPr>
        <w:t>BSLA Program Public Information</w:t>
      </w:r>
    </w:p>
    <w:p w14:paraId="76B1C52D" w14:textId="77777777" w:rsidR="00361D16" w:rsidRPr="00361D16" w:rsidRDefault="00361D16" w:rsidP="00361D16">
      <w:pPr>
        <w:rPr>
          <w:b/>
          <w:bCs/>
        </w:rPr>
      </w:pPr>
      <w:r w:rsidRPr="00361D16">
        <w:rPr>
          <w:b/>
          <w:bCs/>
        </w:rPr>
        <w:t xml:space="preserve">Accreditation </w:t>
      </w:r>
    </w:p>
    <w:p w14:paraId="1CE63853" w14:textId="63A50823" w:rsidR="00361D16" w:rsidRDefault="00361D16" w:rsidP="00361D16">
      <w:r w:rsidRPr="00361D16">
        <w:t xml:space="preserve">The Bachelor of Landscape Architecture (BSLA) at the University of Massachusetts Amherst is a professional degree accredited by the Landscape Architectural Accreditation Board (LAAB). LAAB recently granted the BSLA program a 6-year accreditation term, through Fall 2022. The next accreditation review is scheduled for Fall of 2022. </w:t>
      </w:r>
    </w:p>
    <w:p w14:paraId="7AA0F90F" w14:textId="77777777" w:rsidR="00361D16" w:rsidRPr="00750DF9" w:rsidRDefault="00361D16" w:rsidP="00361D16">
      <w:pPr>
        <w:rPr>
          <w:sz w:val="16"/>
        </w:rPr>
      </w:pPr>
    </w:p>
    <w:p w14:paraId="470B8E0F" w14:textId="77777777" w:rsidR="00361D16" w:rsidRPr="00361D16" w:rsidRDefault="00361D16" w:rsidP="00361D16">
      <w:pPr>
        <w:rPr>
          <w:b/>
          <w:bCs/>
        </w:rPr>
      </w:pPr>
      <w:r w:rsidRPr="00361D16">
        <w:rPr>
          <w:b/>
          <w:bCs/>
        </w:rPr>
        <w:t xml:space="preserve">Annual Cost </w:t>
      </w:r>
    </w:p>
    <w:p w14:paraId="4624709D" w14:textId="77777777" w:rsidR="00361D16" w:rsidRDefault="00361D16" w:rsidP="00361D16">
      <w:r w:rsidRPr="00361D16">
        <w:t>Estimated 202</w:t>
      </w:r>
      <w:r>
        <w:t>1</w:t>
      </w:r>
      <w:r w:rsidRPr="00361D16">
        <w:t>-20</w:t>
      </w:r>
      <w:r>
        <w:t>22</w:t>
      </w:r>
      <w:r w:rsidRPr="00361D16">
        <w:t xml:space="preserve"> academic year tuition and fees for undergraduate Students: Tuition and fees are shown per semester.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61D16" w14:paraId="3F21D405" w14:textId="77777777" w:rsidTr="00361D16">
        <w:tc>
          <w:tcPr>
            <w:tcW w:w="2697" w:type="dxa"/>
          </w:tcPr>
          <w:p w14:paraId="7699353B" w14:textId="40D55739" w:rsidR="00361D16" w:rsidRDefault="00361D16" w:rsidP="00361D16">
            <w:r>
              <w:t>Description</w:t>
            </w:r>
          </w:p>
        </w:tc>
        <w:tc>
          <w:tcPr>
            <w:tcW w:w="2697" w:type="dxa"/>
          </w:tcPr>
          <w:p w14:paraId="6E9C2080" w14:textId="400AB490" w:rsidR="00361D16" w:rsidRDefault="00361D16" w:rsidP="00361D16">
            <w:r>
              <w:t>In-State Residents</w:t>
            </w:r>
          </w:p>
        </w:tc>
        <w:tc>
          <w:tcPr>
            <w:tcW w:w="2698" w:type="dxa"/>
          </w:tcPr>
          <w:p w14:paraId="7697C94E" w14:textId="64AEFB59" w:rsidR="00361D16" w:rsidRDefault="00361D16" w:rsidP="00361D16">
            <w:r>
              <w:t>Out-of-State Residents</w:t>
            </w:r>
          </w:p>
        </w:tc>
        <w:tc>
          <w:tcPr>
            <w:tcW w:w="2698" w:type="dxa"/>
          </w:tcPr>
          <w:p w14:paraId="3812AA73" w14:textId="0934F5D9" w:rsidR="00361D16" w:rsidRDefault="00361D16" w:rsidP="00361D16">
            <w:r>
              <w:t>New England Regional Residents</w:t>
            </w:r>
          </w:p>
        </w:tc>
      </w:tr>
      <w:tr w:rsidR="00361D16" w14:paraId="42400EC5" w14:textId="77777777" w:rsidTr="00361D16">
        <w:tc>
          <w:tcPr>
            <w:tcW w:w="2697" w:type="dxa"/>
          </w:tcPr>
          <w:p w14:paraId="0FCFA048" w14:textId="3A43350F" w:rsidR="00361D16" w:rsidRDefault="00361D16" w:rsidP="00361D16">
            <w:r>
              <w:t>Tuition &amp; Fees</w:t>
            </w:r>
          </w:p>
        </w:tc>
        <w:tc>
          <w:tcPr>
            <w:tcW w:w="2697" w:type="dxa"/>
          </w:tcPr>
          <w:p w14:paraId="2B44A32E" w14:textId="141D6A5C" w:rsidR="00361D16" w:rsidRDefault="00361D16" w:rsidP="00361D16">
            <w:pPr>
              <w:jc w:val="center"/>
            </w:pPr>
            <w:r>
              <w:t>$8,</w:t>
            </w:r>
            <w:r w:rsidR="00750DF9">
              <w:t>476.00</w:t>
            </w:r>
          </w:p>
        </w:tc>
        <w:tc>
          <w:tcPr>
            <w:tcW w:w="2698" w:type="dxa"/>
          </w:tcPr>
          <w:p w14:paraId="0334D7F5" w14:textId="43D15C63" w:rsidR="00361D16" w:rsidRDefault="00361D16" w:rsidP="00361D16">
            <w:pPr>
              <w:jc w:val="center"/>
            </w:pPr>
            <w:r>
              <w:t>$1</w:t>
            </w:r>
            <w:r w:rsidR="00750DF9">
              <w:t>9,085.50</w:t>
            </w:r>
          </w:p>
        </w:tc>
        <w:tc>
          <w:tcPr>
            <w:tcW w:w="2698" w:type="dxa"/>
          </w:tcPr>
          <w:p w14:paraId="1D4D86FB" w14:textId="1240F4D9" w:rsidR="00361D16" w:rsidRDefault="00361D16" w:rsidP="00361D16">
            <w:pPr>
              <w:jc w:val="center"/>
            </w:pPr>
            <w:r>
              <w:t>$15,</w:t>
            </w:r>
            <w:r w:rsidR="00750DF9">
              <w:t>617.00</w:t>
            </w:r>
          </w:p>
        </w:tc>
      </w:tr>
      <w:tr w:rsidR="00361D16" w14:paraId="72414AB3" w14:textId="77777777" w:rsidTr="00361D16">
        <w:tc>
          <w:tcPr>
            <w:tcW w:w="2697" w:type="dxa"/>
          </w:tcPr>
          <w:p w14:paraId="2E838644" w14:textId="57F62220" w:rsidR="00361D16" w:rsidRDefault="00361D16" w:rsidP="00361D16">
            <w:r>
              <w:t>Room &amp; Board</w:t>
            </w:r>
          </w:p>
        </w:tc>
        <w:tc>
          <w:tcPr>
            <w:tcW w:w="2697" w:type="dxa"/>
          </w:tcPr>
          <w:p w14:paraId="06C2AB5C" w14:textId="5FFDE0DC" w:rsidR="00361D16" w:rsidRDefault="00361D16" w:rsidP="00361D16">
            <w:pPr>
              <w:jc w:val="center"/>
            </w:pPr>
            <w:r>
              <w:t>$3,</w:t>
            </w:r>
            <w:r w:rsidR="00750DF9">
              <w:t>770.00</w:t>
            </w:r>
          </w:p>
        </w:tc>
        <w:tc>
          <w:tcPr>
            <w:tcW w:w="2698" w:type="dxa"/>
          </w:tcPr>
          <w:p w14:paraId="753494ED" w14:textId="5B284B30" w:rsidR="00361D16" w:rsidRDefault="00361D16" w:rsidP="00361D16">
            <w:pPr>
              <w:jc w:val="center"/>
            </w:pPr>
            <w:r>
              <w:t>$3,</w:t>
            </w:r>
            <w:r w:rsidR="00750DF9">
              <w:t>770.00</w:t>
            </w:r>
          </w:p>
        </w:tc>
        <w:tc>
          <w:tcPr>
            <w:tcW w:w="2698" w:type="dxa"/>
          </w:tcPr>
          <w:p w14:paraId="7D424440" w14:textId="6DB9776E" w:rsidR="00361D16" w:rsidRDefault="00361D16" w:rsidP="00361D16">
            <w:pPr>
              <w:jc w:val="center"/>
            </w:pPr>
            <w:r>
              <w:t>$3,</w:t>
            </w:r>
            <w:r w:rsidR="00750DF9">
              <w:t>770.00</w:t>
            </w:r>
          </w:p>
        </w:tc>
      </w:tr>
      <w:tr w:rsidR="00361D16" w14:paraId="09FE9568" w14:textId="77777777" w:rsidTr="00361D16">
        <w:tc>
          <w:tcPr>
            <w:tcW w:w="2697" w:type="dxa"/>
          </w:tcPr>
          <w:p w14:paraId="4DDBB42E" w14:textId="1B4FBC8C" w:rsidR="00361D16" w:rsidRDefault="00361D16" w:rsidP="00361D16">
            <w:r>
              <w:t>Total Cost</w:t>
            </w:r>
          </w:p>
        </w:tc>
        <w:tc>
          <w:tcPr>
            <w:tcW w:w="2697" w:type="dxa"/>
          </w:tcPr>
          <w:p w14:paraId="009C2BFF" w14:textId="5398E913" w:rsidR="00361D16" w:rsidRDefault="00361D16" w:rsidP="00361D16">
            <w:pPr>
              <w:jc w:val="center"/>
            </w:pPr>
            <w:r>
              <w:t>$12,</w:t>
            </w:r>
            <w:r w:rsidR="00750DF9">
              <w:t>246.00</w:t>
            </w:r>
          </w:p>
        </w:tc>
        <w:tc>
          <w:tcPr>
            <w:tcW w:w="2698" w:type="dxa"/>
          </w:tcPr>
          <w:p w14:paraId="02507C9B" w14:textId="6941BB03" w:rsidR="00361D16" w:rsidRDefault="00361D16" w:rsidP="00361D16">
            <w:pPr>
              <w:jc w:val="center"/>
            </w:pPr>
            <w:r>
              <w:t>$22,</w:t>
            </w:r>
            <w:r w:rsidR="00750DF9">
              <w:t>855.50</w:t>
            </w:r>
          </w:p>
        </w:tc>
        <w:tc>
          <w:tcPr>
            <w:tcW w:w="2698" w:type="dxa"/>
          </w:tcPr>
          <w:p w14:paraId="64C8E4CE" w14:textId="12496A15" w:rsidR="00361D16" w:rsidRDefault="00361D16" w:rsidP="00361D16">
            <w:pPr>
              <w:jc w:val="center"/>
            </w:pPr>
            <w:r>
              <w:t>$</w:t>
            </w:r>
            <w:r w:rsidR="00750DF9">
              <w:t>19,387.00</w:t>
            </w:r>
            <w:bookmarkStart w:id="0" w:name="_GoBack"/>
            <w:bookmarkEnd w:id="0"/>
          </w:p>
        </w:tc>
      </w:tr>
      <w:tr w:rsidR="00361D16" w14:paraId="1AE0D52C" w14:textId="77777777" w:rsidTr="00361D16">
        <w:tc>
          <w:tcPr>
            <w:tcW w:w="2697" w:type="dxa"/>
          </w:tcPr>
          <w:p w14:paraId="06B6647E" w14:textId="3B8AB9E3" w:rsidR="00361D16" w:rsidRDefault="00361D16" w:rsidP="00361D16">
            <w:r>
              <w:t>Commonwealth Honors College Fee</w:t>
            </w:r>
          </w:p>
        </w:tc>
        <w:tc>
          <w:tcPr>
            <w:tcW w:w="2697" w:type="dxa"/>
          </w:tcPr>
          <w:p w14:paraId="1E39E19C" w14:textId="6251C530" w:rsidR="00361D16" w:rsidRDefault="00361D16" w:rsidP="00361D16">
            <w:pPr>
              <w:jc w:val="center"/>
            </w:pPr>
            <w:r>
              <w:t>$300.00</w:t>
            </w:r>
          </w:p>
        </w:tc>
        <w:tc>
          <w:tcPr>
            <w:tcW w:w="2698" w:type="dxa"/>
          </w:tcPr>
          <w:p w14:paraId="2D90DB1D" w14:textId="341B10E3" w:rsidR="00361D16" w:rsidRDefault="00361D16" w:rsidP="00361D16">
            <w:pPr>
              <w:jc w:val="center"/>
            </w:pPr>
            <w:r>
              <w:t>$300.00</w:t>
            </w:r>
          </w:p>
        </w:tc>
        <w:tc>
          <w:tcPr>
            <w:tcW w:w="2698" w:type="dxa"/>
          </w:tcPr>
          <w:p w14:paraId="2932BF47" w14:textId="741B7FED" w:rsidR="00361D16" w:rsidRDefault="00361D16" w:rsidP="00361D16">
            <w:pPr>
              <w:jc w:val="center"/>
            </w:pPr>
            <w:r>
              <w:t>$300.00</w:t>
            </w:r>
          </w:p>
        </w:tc>
      </w:tr>
    </w:tbl>
    <w:p w14:paraId="75383AFA" w14:textId="3E8E9918" w:rsidR="00361D16" w:rsidRDefault="00361D16" w:rsidP="00361D16">
      <w:r>
        <w:t xml:space="preserve">For a complete list of student fees and a per-credit hour breakdown of tuition rates please refer to the </w:t>
      </w:r>
      <w:hyperlink r:id="rId9" w:history="1">
        <w:r w:rsidRPr="00361D16">
          <w:rPr>
            <w:rStyle w:val="Hyperlink"/>
          </w:rPr>
          <w:t>Bursar’s Office Undergraduate Tuition and Fees page.</w:t>
        </w:r>
      </w:hyperlink>
      <w:r>
        <w:t xml:space="preserve"> </w:t>
      </w:r>
    </w:p>
    <w:p w14:paraId="26D3BED2" w14:textId="77777777" w:rsidR="00361D16" w:rsidRPr="00750DF9" w:rsidRDefault="00361D16" w:rsidP="00361D16">
      <w:pPr>
        <w:rPr>
          <w:sz w:val="16"/>
        </w:rPr>
      </w:pPr>
    </w:p>
    <w:p w14:paraId="78B1FFAB" w14:textId="244C49D2" w:rsidR="000F0315" w:rsidRPr="00361D16" w:rsidRDefault="00361D16">
      <w:pPr>
        <w:rPr>
          <w:b/>
          <w:bCs/>
        </w:rPr>
      </w:pPr>
      <w:r w:rsidRPr="00361D16">
        <w:rPr>
          <w:b/>
          <w:bCs/>
        </w:rPr>
        <w:t>Student Retention and Graduation Rates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542"/>
        <w:gridCol w:w="1542"/>
        <w:gridCol w:w="1541"/>
        <w:gridCol w:w="1539"/>
        <w:gridCol w:w="1539"/>
        <w:gridCol w:w="1539"/>
        <w:gridCol w:w="1537"/>
      </w:tblGrid>
      <w:tr w:rsidR="000F0315" w14:paraId="572CBE2D" w14:textId="77777777" w:rsidTr="00AE15E8">
        <w:tc>
          <w:tcPr>
            <w:tcW w:w="715" w:type="pct"/>
          </w:tcPr>
          <w:p w14:paraId="0D91E699" w14:textId="17FD05A4" w:rsidR="000F0315" w:rsidRPr="000C5724" w:rsidRDefault="00641621" w:rsidP="000C57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Graduation</w:t>
            </w:r>
            <w:r w:rsidR="000C5724" w:rsidRPr="000C5724">
              <w:rPr>
                <w:b/>
                <w:bCs/>
                <w:sz w:val="22"/>
                <w:szCs w:val="22"/>
              </w:rPr>
              <w:t xml:space="preserve"> Year</w:t>
            </w:r>
          </w:p>
        </w:tc>
        <w:tc>
          <w:tcPr>
            <w:tcW w:w="715" w:type="pct"/>
          </w:tcPr>
          <w:p w14:paraId="0FD1FE07" w14:textId="77777777" w:rsidR="000C5724" w:rsidRPr="000C5724" w:rsidRDefault="000C5724" w:rsidP="000C57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5724">
              <w:rPr>
                <w:b/>
                <w:bCs/>
                <w:sz w:val="22"/>
                <w:szCs w:val="22"/>
              </w:rPr>
              <w:t>Academic Year</w:t>
            </w:r>
          </w:p>
          <w:p w14:paraId="31482611" w14:textId="37C96537" w:rsidR="000F0315" w:rsidRDefault="000C5724" w:rsidP="000C572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0C5724">
              <w:rPr>
                <w:b/>
                <w:bCs/>
                <w:sz w:val="22"/>
                <w:szCs w:val="22"/>
              </w:rPr>
              <w:t xml:space="preserve">ntering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0C5724">
              <w:rPr>
                <w:b/>
                <w:bCs/>
                <w:sz w:val="22"/>
                <w:szCs w:val="22"/>
              </w:rPr>
              <w:t xml:space="preserve">ophomore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0C5724">
              <w:rPr>
                <w:b/>
                <w:bCs/>
                <w:sz w:val="22"/>
                <w:szCs w:val="22"/>
              </w:rPr>
              <w:t>tudios</w:t>
            </w:r>
          </w:p>
        </w:tc>
        <w:tc>
          <w:tcPr>
            <w:tcW w:w="715" w:type="pct"/>
          </w:tcPr>
          <w:p w14:paraId="650D6DED" w14:textId="3BD75C42" w:rsidR="000C5724" w:rsidRPr="000C5724" w:rsidRDefault="000C5724" w:rsidP="000C57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5724">
              <w:rPr>
                <w:b/>
                <w:bCs/>
                <w:sz w:val="22"/>
                <w:szCs w:val="22"/>
              </w:rPr>
              <w:t>Number Students</w:t>
            </w:r>
          </w:p>
          <w:p w14:paraId="37E933A4" w14:textId="45E538A8" w:rsidR="000F0315" w:rsidRDefault="000C5724" w:rsidP="000C5724">
            <w:pPr>
              <w:jc w:val="center"/>
            </w:pPr>
            <w:r w:rsidRPr="000C5724">
              <w:rPr>
                <w:b/>
                <w:bCs/>
                <w:sz w:val="22"/>
                <w:szCs w:val="22"/>
              </w:rPr>
              <w:t xml:space="preserve">in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0C5724">
              <w:rPr>
                <w:b/>
                <w:bCs/>
                <w:sz w:val="22"/>
                <w:szCs w:val="22"/>
              </w:rPr>
              <w:t xml:space="preserve">ophomore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0C5724">
              <w:rPr>
                <w:b/>
                <w:bCs/>
                <w:sz w:val="22"/>
                <w:szCs w:val="22"/>
              </w:rPr>
              <w:t>tudios</w:t>
            </w:r>
          </w:p>
        </w:tc>
        <w:tc>
          <w:tcPr>
            <w:tcW w:w="714" w:type="pct"/>
          </w:tcPr>
          <w:p w14:paraId="2C72E0DE" w14:textId="282B7B7D" w:rsidR="000C5724" w:rsidRPr="000C5724" w:rsidRDefault="000C5724" w:rsidP="000C57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5724">
              <w:rPr>
                <w:b/>
                <w:bCs/>
                <w:sz w:val="22"/>
                <w:szCs w:val="22"/>
              </w:rPr>
              <w:t>Number Students Continued</w:t>
            </w:r>
          </w:p>
          <w:p w14:paraId="1CC95276" w14:textId="77777777" w:rsidR="000F0315" w:rsidRDefault="000C5724" w:rsidP="000C57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5724">
              <w:rPr>
                <w:b/>
                <w:bCs/>
                <w:sz w:val="22"/>
                <w:szCs w:val="22"/>
              </w:rPr>
              <w:t>to Senior Year</w:t>
            </w:r>
          </w:p>
          <w:p w14:paraId="086EEFC6" w14:textId="57B1E9E6" w:rsidR="005239F9" w:rsidRDefault="005239F9" w:rsidP="000C572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Studio</w:t>
            </w:r>
          </w:p>
        </w:tc>
        <w:tc>
          <w:tcPr>
            <w:tcW w:w="714" w:type="pct"/>
          </w:tcPr>
          <w:p w14:paraId="22F14690" w14:textId="0F768875" w:rsidR="000F0315" w:rsidRPr="000C5724" w:rsidRDefault="000C5724" w:rsidP="000C5724">
            <w:pPr>
              <w:jc w:val="center"/>
              <w:rPr>
                <w:sz w:val="22"/>
                <w:szCs w:val="22"/>
              </w:rPr>
            </w:pPr>
            <w:r w:rsidRPr="000C5724">
              <w:rPr>
                <w:b/>
                <w:bCs/>
                <w:sz w:val="22"/>
                <w:szCs w:val="22"/>
              </w:rPr>
              <w:t>Retention Rate (%)</w:t>
            </w:r>
            <w:r w:rsidRPr="000C5724">
              <w:rPr>
                <w:sz w:val="22"/>
                <w:szCs w:val="22"/>
              </w:rPr>
              <w:t xml:space="preserve"> </w:t>
            </w:r>
            <w:r w:rsidRPr="000C5724">
              <w:rPr>
                <w:sz w:val="20"/>
                <w:szCs w:val="20"/>
              </w:rPr>
              <w:t>based on sophomore to senior year enrollment</w:t>
            </w:r>
          </w:p>
        </w:tc>
        <w:tc>
          <w:tcPr>
            <w:tcW w:w="714" w:type="pct"/>
          </w:tcPr>
          <w:p w14:paraId="1D2CCEAB" w14:textId="5781C731" w:rsidR="000F0315" w:rsidRPr="000C5724" w:rsidRDefault="000C5724" w:rsidP="000C5724">
            <w:pPr>
              <w:jc w:val="center"/>
              <w:rPr>
                <w:sz w:val="22"/>
                <w:szCs w:val="22"/>
              </w:rPr>
            </w:pPr>
            <w:r w:rsidRPr="005239F9">
              <w:rPr>
                <w:b/>
                <w:bCs/>
                <w:sz w:val="22"/>
                <w:szCs w:val="22"/>
              </w:rPr>
              <w:t>Graduation Rate (%)</w:t>
            </w:r>
            <w:r w:rsidRPr="000C5724">
              <w:rPr>
                <w:sz w:val="22"/>
                <w:szCs w:val="22"/>
              </w:rPr>
              <w:t xml:space="preserve"> </w:t>
            </w:r>
            <w:r w:rsidRPr="005239F9">
              <w:rPr>
                <w:sz w:val="20"/>
                <w:szCs w:val="20"/>
              </w:rPr>
              <w:t>within 6 years of entering UMass</w:t>
            </w:r>
          </w:p>
        </w:tc>
        <w:tc>
          <w:tcPr>
            <w:tcW w:w="713" w:type="pct"/>
          </w:tcPr>
          <w:p w14:paraId="5B012D1E" w14:textId="27A2E5CA" w:rsidR="000F0315" w:rsidRDefault="000C5724" w:rsidP="000C5724">
            <w:pPr>
              <w:jc w:val="center"/>
            </w:pPr>
            <w:r w:rsidRPr="000C5724">
              <w:rPr>
                <w:b/>
                <w:bCs/>
                <w:sz w:val="22"/>
                <w:szCs w:val="22"/>
              </w:rPr>
              <w:t>Number Degrees Awarded</w:t>
            </w:r>
            <w:r w:rsidRPr="000C5724">
              <w:rPr>
                <w:sz w:val="22"/>
                <w:szCs w:val="22"/>
              </w:rPr>
              <w:t xml:space="preserve"> </w:t>
            </w:r>
            <w:r w:rsidRPr="000C5724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>in</w:t>
            </w:r>
            <w:r w:rsidRPr="000C5724">
              <w:rPr>
                <w:sz w:val="20"/>
                <w:szCs w:val="20"/>
              </w:rPr>
              <w:t xml:space="preserve"> 6 years of enrolling</w:t>
            </w:r>
            <w:r>
              <w:rPr>
                <w:sz w:val="20"/>
                <w:szCs w:val="20"/>
              </w:rPr>
              <w:t xml:space="preserve"> </w:t>
            </w:r>
            <w:r w:rsidR="005239F9">
              <w:rPr>
                <w:sz w:val="20"/>
                <w:szCs w:val="20"/>
              </w:rPr>
              <w:t>at UMass</w:t>
            </w:r>
          </w:p>
        </w:tc>
      </w:tr>
      <w:tr w:rsidR="00AE15E8" w14:paraId="745C56ED" w14:textId="77777777" w:rsidTr="00AE15E8">
        <w:tc>
          <w:tcPr>
            <w:tcW w:w="715" w:type="pct"/>
          </w:tcPr>
          <w:p w14:paraId="6A889BDD" w14:textId="10459F80" w:rsidR="00AE15E8" w:rsidRDefault="00AE15E8" w:rsidP="00AE15E8">
            <w:r>
              <w:t>2012</w:t>
            </w:r>
          </w:p>
        </w:tc>
        <w:tc>
          <w:tcPr>
            <w:tcW w:w="715" w:type="pct"/>
          </w:tcPr>
          <w:p w14:paraId="15D04D1F" w14:textId="50B6689D" w:rsidR="00AE15E8" w:rsidRDefault="00AE15E8" w:rsidP="00AE15E8">
            <w:r>
              <w:t>2009-10</w:t>
            </w:r>
          </w:p>
        </w:tc>
        <w:tc>
          <w:tcPr>
            <w:tcW w:w="715" w:type="pct"/>
          </w:tcPr>
          <w:p w14:paraId="732B5DF3" w14:textId="73A1BB51" w:rsidR="00AE15E8" w:rsidRDefault="00AE15E8" w:rsidP="00DD2A39">
            <w:pPr>
              <w:jc w:val="center"/>
            </w:pPr>
            <w:r>
              <w:t>22</w:t>
            </w:r>
          </w:p>
        </w:tc>
        <w:tc>
          <w:tcPr>
            <w:tcW w:w="714" w:type="pct"/>
          </w:tcPr>
          <w:p w14:paraId="61C01C40" w14:textId="4F54EC70" w:rsidR="00AE15E8" w:rsidRDefault="00AE15E8" w:rsidP="00DD2A39">
            <w:pPr>
              <w:jc w:val="center"/>
            </w:pPr>
            <w:r>
              <w:t>15</w:t>
            </w:r>
          </w:p>
        </w:tc>
        <w:tc>
          <w:tcPr>
            <w:tcW w:w="714" w:type="pct"/>
          </w:tcPr>
          <w:p w14:paraId="2208AF86" w14:textId="274605B5" w:rsidR="00AE15E8" w:rsidRDefault="00AE15E8" w:rsidP="00DD2A39">
            <w:pPr>
              <w:jc w:val="center"/>
            </w:pPr>
            <w:r>
              <w:t>68%</w:t>
            </w:r>
          </w:p>
        </w:tc>
        <w:tc>
          <w:tcPr>
            <w:tcW w:w="714" w:type="pct"/>
          </w:tcPr>
          <w:p w14:paraId="42426D37" w14:textId="0EE76757" w:rsidR="00DD2A39" w:rsidRDefault="00DD2A39" w:rsidP="00DD2A39">
            <w:pPr>
              <w:jc w:val="center"/>
            </w:pPr>
            <w:r>
              <w:t>100%</w:t>
            </w:r>
          </w:p>
        </w:tc>
        <w:tc>
          <w:tcPr>
            <w:tcW w:w="713" w:type="pct"/>
          </w:tcPr>
          <w:p w14:paraId="0964A00A" w14:textId="43524762" w:rsidR="00AE15E8" w:rsidRDefault="0081763B" w:rsidP="00DD2A39">
            <w:pPr>
              <w:jc w:val="center"/>
            </w:pPr>
            <w:r>
              <w:t>15</w:t>
            </w:r>
          </w:p>
        </w:tc>
      </w:tr>
      <w:tr w:rsidR="00AE15E8" w14:paraId="209010C0" w14:textId="77777777" w:rsidTr="00AE15E8">
        <w:tc>
          <w:tcPr>
            <w:tcW w:w="715" w:type="pct"/>
          </w:tcPr>
          <w:p w14:paraId="157FC440" w14:textId="22ADA971" w:rsidR="00AE15E8" w:rsidRDefault="00AE15E8" w:rsidP="00AE15E8">
            <w:r>
              <w:t>2013</w:t>
            </w:r>
          </w:p>
        </w:tc>
        <w:tc>
          <w:tcPr>
            <w:tcW w:w="715" w:type="pct"/>
          </w:tcPr>
          <w:p w14:paraId="6198925B" w14:textId="584B9AF4" w:rsidR="00AE15E8" w:rsidRDefault="00AE15E8" w:rsidP="00AE15E8">
            <w:r>
              <w:t>2010-11</w:t>
            </w:r>
          </w:p>
        </w:tc>
        <w:tc>
          <w:tcPr>
            <w:tcW w:w="715" w:type="pct"/>
          </w:tcPr>
          <w:p w14:paraId="3533955C" w14:textId="603F2D61" w:rsidR="00AE15E8" w:rsidRDefault="00AE15E8" w:rsidP="00DD2A39">
            <w:pPr>
              <w:jc w:val="center"/>
            </w:pPr>
            <w:r>
              <w:t>31</w:t>
            </w:r>
          </w:p>
        </w:tc>
        <w:tc>
          <w:tcPr>
            <w:tcW w:w="714" w:type="pct"/>
          </w:tcPr>
          <w:p w14:paraId="16F5BE45" w14:textId="6956242C" w:rsidR="00AE15E8" w:rsidRDefault="00AE15E8" w:rsidP="00DD2A39">
            <w:pPr>
              <w:jc w:val="center"/>
            </w:pPr>
            <w:r>
              <w:t>24</w:t>
            </w:r>
          </w:p>
        </w:tc>
        <w:tc>
          <w:tcPr>
            <w:tcW w:w="714" w:type="pct"/>
          </w:tcPr>
          <w:p w14:paraId="6C911A5B" w14:textId="4455C520" w:rsidR="00AE15E8" w:rsidRDefault="00AE15E8" w:rsidP="00DD2A39">
            <w:pPr>
              <w:jc w:val="center"/>
            </w:pPr>
            <w:r>
              <w:t>77%</w:t>
            </w:r>
          </w:p>
        </w:tc>
        <w:tc>
          <w:tcPr>
            <w:tcW w:w="714" w:type="pct"/>
          </w:tcPr>
          <w:p w14:paraId="15AD053B" w14:textId="114A865E" w:rsidR="00AE15E8" w:rsidRDefault="00DD2A39" w:rsidP="00DD2A39">
            <w:pPr>
              <w:jc w:val="center"/>
            </w:pPr>
            <w:r>
              <w:t>96%</w:t>
            </w:r>
          </w:p>
        </w:tc>
        <w:tc>
          <w:tcPr>
            <w:tcW w:w="713" w:type="pct"/>
          </w:tcPr>
          <w:p w14:paraId="29AE58C4" w14:textId="1F95AC69" w:rsidR="00AE15E8" w:rsidRDefault="0081763B" w:rsidP="00DD2A39">
            <w:pPr>
              <w:jc w:val="center"/>
            </w:pPr>
            <w:r>
              <w:t>23</w:t>
            </w:r>
          </w:p>
        </w:tc>
      </w:tr>
      <w:tr w:rsidR="00AE15E8" w14:paraId="227B511E" w14:textId="77777777" w:rsidTr="00AE15E8">
        <w:tc>
          <w:tcPr>
            <w:tcW w:w="715" w:type="pct"/>
          </w:tcPr>
          <w:p w14:paraId="51DF5C68" w14:textId="31453CC3" w:rsidR="00AE15E8" w:rsidRDefault="00AE15E8" w:rsidP="00AE15E8">
            <w:r>
              <w:t>2014</w:t>
            </w:r>
          </w:p>
        </w:tc>
        <w:tc>
          <w:tcPr>
            <w:tcW w:w="715" w:type="pct"/>
          </w:tcPr>
          <w:p w14:paraId="00E8E6A4" w14:textId="332CF2B6" w:rsidR="00AE15E8" w:rsidRDefault="00AE15E8" w:rsidP="00AE15E8">
            <w:r>
              <w:t>2011-12</w:t>
            </w:r>
          </w:p>
        </w:tc>
        <w:tc>
          <w:tcPr>
            <w:tcW w:w="715" w:type="pct"/>
          </w:tcPr>
          <w:p w14:paraId="01E4C16D" w14:textId="4D79BD95" w:rsidR="00AE15E8" w:rsidRDefault="00AE15E8" w:rsidP="00DD2A39">
            <w:pPr>
              <w:jc w:val="center"/>
            </w:pPr>
            <w:r>
              <w:t>17</w:t>
            </w:r>
          </w:p>
        </w:tc>
        <w:tc>
          <w:tcPr>
            <w:tcW w:w="714" w:type="pct"/>
          </w:tcPr>
          <w:p w14:paraId="3FDD2DA5" w14:textId="000A40DE" w:rsidR="00AE15E8" w:rsidRDefault="00AE15E8" w:rsidP="00DD2A39">
            <w:pPr>
              <w:jc w:val="center"/>
            </w:pPr>
            <w:r>
              <w:t>10</w:t>
            </w:r>
          </w:p>
        </w:tc>
        <w:tc>
          <w:tcPr>
            <w:tcW w:w="714" w:type="pct"/>
          </w:tcPr>
          <w:p w14:paraId="232CD703" w14:textId="29782455" w:rsidR="00AE15E8" w:rsidRDefault="00AE15E8" w:rsidP="00DD2A39">
            <w:pPr>
              <w:jc w:val="center"/>
            </w:pPr>
            <w:r>
              <w:t>59%</w:t>
            </w:r>
          </w:p>
        </w:tc>
        <w:tc>
          <w:tcPr>
            <w:tcW w:w="714" w:type="pct"/>
          </w:tcPr>
          <w:p w14:paraId="0A4164EF" w14:textId="2F9A7C86" w:rsidR="00AE15E8" w:rsidRDefault="00DD2A39" w:rsidP="00DD2A39">
            <w:pPr>
              <w:jc w:val="center"/>
            </w:pPr>
            <w:r>
              <w:t>80%</w:t>
            </w:r>
          </w:p>
        </w:tc>
        <w:tc>
          <w:tcPr>
            <w:tcW w:w="713" w:type="pct"/>
          </w:tcPr>
          <w:p w14:paraId="09C9EC4F" w14:textId="4C040A0A" w:rsidR="00AE15E8" w:rsidRDefault="0081763B" w:rsidP="00DD2A39">
            <w:pPr>
              <w:jc w:val="center"/>
            </w:pPr>
            <w:r>
              <w:t>8</w:t>
            </w:r>
          </w:p>
        </w:tc>
      </w:tr>
      <w:tr w:rsidR="00AE15E8" w14:paraId="26CE301E" w14:textId="77777777" w:rsidTr="00AE15E8">
        <w:tc>
          <w:tcPr>
            <w:tcW w:w="715" w:type="pct"/>
          </w:tcPr>
          <w:p w14:paraId="6FE3AB23" w14:textId="18053398" w:rsidR="00AE15E8" w:rsidRDefault="00AE15E8" w:rsidP="00AE15E8">
            <w:r>
              <w:t>2015</w:t>
            </w:r>
          </w:p>
        </w:tc>
        <w:tc>
          <w:tcPr>
            <w:tcW w:w="715" w:type="pct"/>
          </w:tcPr>
          <w:p w14:paraId="0C29433F" w14:textId="278D3E7C" w:rsidR="00AE15E8" w:rsidRDefault="00AE15E8" w:rsidP="00AE15E8">
            <w:r>
              <w:t>2012-13</w:t>
            </w:r>
          </w:p>
        </w:tc>
        <w:tc>
          <w:tcPr>
            <w:tcW w:w="715" w:type="pct"/>
          </w:tcPr>
          <w:p w14:paraId="26058029" w14:textId="6ACDD6D8" w:rsidR="00AE15E8" w:rsidRDefault="00AE15E8" w:rsidP="00DD2A39">
            <w:pPr>
              <w:jc w:val="center"/>
            </w:pPr>
            <w:r>
              <w:t>27</w:t>
            </w:r>
          </w:p>
        </w:tc>
        <w:tc>
          <w:tcPr>
            <w:tcW w:w="714" w:type="pct"/>
          </w:tcPr>
          <w:p w14:paraId="3C12682E" w14:textId="2706539E" w:rsidR="00AE15E8" w:rsidRDefault="00AE15E8" w:rsidP="00DD2A39">
            <w:pPr>
              <w:jc w:val="center"/>
            </w:pPr>
            <w:r>
              <w:t>16</w:t>
            </w:r>
          </w:p>
        </w:tc>
        <w:tc>
          <w:tcPr>
            <w:tcW w:w="714" w:type="pct"/>
          </w:tcPr>
          <w:p w14:paraId="29338AE6" w14:textId="0116A434" w:rsidR="00AE15E8" w:rsidRDefault="00AE15E8" w:rsidP="00DD2A39">
            <w:pPr>
              <w:jc w:val="center"/>
            </w:pPr>
            <w:r>
              <w:t>59%</w:t>
            </w:r>
          </w:p>
        </w:tc>
        <w:tc>
          <w:tcPr>
            <w:tcW w:w="714" w:type="pct"/>
          </w:tcPr>
          <w:p w14:paraId="39645965" w14:textId="44368680" w:rsidR="00AE15E8" w:rsidRDefault="00DD2A39" w:rsidP="00DD2A39">
            <w:pPr>
              <w:jc w:val="center"/>
            </w:pPr>
            <w:r>
              <w:t>100%</w:t>
            </w:r>
          </w:p>
        </w:tc>
        <w:tc>
          <w:tcPr>
            <w:tcW w:w="713" w:type="pct"/>
          </w:tcPr>
          <w:p w14:paraId="59C6483D" w14:textId="3429DF53" w:rsidR="00AE15E8" w:rsidRDefault="0081763B" w:rsidP="00DD2A39">
            <w:pPr>
              <w:jc w:val="center"/>
            </w:pPr>
            <w:r>
              <w:t>16</w:t>
            </w:r>
          </w:p>
        </w:tc>
      </w:tr>
      <w:tr w:rsidR="00AE15E8" w14:paraId="34698F18" w14:textId="77777777" w:rsidTr="00AE15E8">
        <w:tc>
          <w:tcPr>
            <w:tcW w:w="715" w:type="pct"/>
          </w:tcPr>
          <w:p w14:paraId="4F18AE36" w14:textId="27A0CE48" w:rsidR="00AE15E8" w:rsidRDefault="00AE15E8" w:rsidP="00AE15E8">
            <w:r>
              <w:t>2016</w:t>
            </w:r>
          </w:p>
        </w:tc>
        <w:tc>
          <w:tcPr>
            <w:tcW w:w="715" w:type="pct"/>
          </w:tcPr>
          <w:p w14:paraId="00E03A1E" w14:textId="28EEE195" w:rsidR="00AE15E8" w:rsidRDefault="00AE15E8" w:rsidP="00AE15E8">
            <w:r>
              <w:t>2013-14</w:t>
            </w:r>
          </w:p>
        </w:tc>
        <w:tc>
          <w:tcPr>
            <w:tcW w:w="715" w:type="pct"/>
          </w:tcPr>
          <w:p w14:paraId="352244F9" w14:textId="3319C544" w:rsidR="00AE15E8" w:rsidRDefault="00AE15E8" w:rsidP="00DD2A39">
            <w:pPr>
              <w:jc w:val="center"/>
            </w:pPr>
            <w:r>
              <w:t>16</w:t>
            </w:r>
          </w:p>
        </w:tc>
        <w:tc>
          <w:tcPr>
            <w:tcW w:w="714" w:type="pct"/>
          </w:tcPr>
          <w:p w14:paraId="7EBCE783" w14:textId="1F558F53" w:rsidR="00AE15E8" w:rsidRDefault="00AE15E8" w:rsidP="00DD2A39">
            <w:pPr>
              <w:jc w:val="center"/>
            </w:pPr>
            <w:r>
              <w:t>11</w:t>
            </w:r>
          </w:p>
        </w:tc>
        <w:tc>
          <w:tcPr>
            <w:tcW w:w="714" w:type="pct"/>
          </w:tcPr>
          <w:p w14:paraId="300A76E0" w14:textId="5CA611C4" w:rsidR="00AE15E8" w:rsidRDefault="00AE15E8" w:rsidP="00DD2A39">
            <w:pPr>
              <w:jc w:val="center"/>
            </w:pPr>
            <w:r>
              <w:t>69%</w:t>
            </w:r>
          </w:p>
        </w:tc>
        <w:tc>
          <w:tcPr>
            <w:tcW w:w="714" w:type="pct"/>
          </w:tcPr>
          <w:p w14:paraId="1C7F4F5C" w14:textId="31B5A9FA" w:rsidR="00AE15E8" w:rsidRDefault="00DD2A39" w:rsidP="00DD2A39">
            <w:pPr>
              <w:jc w:val="center"/>
            </w:pPr>
            <w:r>
              <w:t>100%</w:t>
            </w:r>
          </w:p>
        </w:tc>
        <w:tc>
          <w:tcPr>
            <w:tcW w:w="713" w:type="pct"/>
          </w:tcPr>
          <w:p w14:paraId="5B144A0C" w14:textId="71CA3451" w:rsidR="00AE15E8" w:rsidRDefault="0081763B" w:rsidP="00DD2A39">
            <w:pPr>
              <w:jc w:val="center"/>
            </w:pPr>
            <w:r>
              <w:t>11</w:t>
            </w:r>
          </w:p>
        </w:tc>
      </w:tr>
      <w:tr w:rsidR="00AE15E8" w14:paraId="3774E9C5" w14:textId="77777777" w:rsidTr="00AE15E8">
        <w:tc>
          <w:tcPr>
            <w:tcW w:w="715" w:type="pct"/>
          </w:tcPr>
          <w:p w14:paraId="50A3524D" w14:textId="018FEAC4" w:rsidR="00AE15E8" w:rsidRDefault="00AE15E8" w:rsidP="00AE15E8">
            <w:r>
              <w:t>2017</w:t>
            </w:r>
          </w:p>
        </w:tc>
        <w:tc>
          <w:tcPr>
            <w:tcW w:w="715" w:type="pct"/>
          </w:tcPr>
          <w:p w14:paraId="249931DC" w14:textId="55062ED3" w:rsidR="00AE15E8" w:rsidRDefault="00AE15E8" w:rsidP="00AE15E8">
            <w:r>
              <w:t>2014-15</w:t>
            </w:r>
          </w:p>
        </w:tc>
        <w:tc>
          <w:tcPr>
            <w:tcW w:w="715" w:type="pct"/>
          </w:tcPr>
          <w:p w14:paraId="241A8F41" w14:textId="7ED6F318" w:rsidR="00AE15E8" w:rsidRDefault="00AE15E8" w:rsidP="00DD2A39">
            <w:pPr>
              <w:jc w:val="center"/>
            </w:pPr>
            <w:r>
              <w:t>18</w:t>
            </w:r>
          </w:p>
        </w:tc>
        <w:tc>
          <w:tcPr>
            <w:tcW w:w="714" w:type="pct"/>
          </w:tcPr>
          <w:p w14:paraId="29F66B49" w14:textId="2954D552" w:rsidR="00AE15E8" w:rsidRDefault="00AE15E8" w:rsidP="00DD2A39">
            <w:pPr>
              <w:jc w:val="center"/>
            </w:pPr>
            <w:r>
              <w:t>13</w:t>
            </w:r>
          </w:p>
        </w:tc>
        <w:tc>
          <w:tcPr>
            <w:tcW w:w="714" w:type="pct"/>
          </w:tcPr>
          <w:p w14:paraId="6D7E8B9C" w14:textId="6A0472DB" w:rsidR="00AE15E8" w:rsidRDefault="00AE15E8" w:rsidP="00DD2A39">
            <w:pPr>
              <w:jc w:val="center"/>
            </w:pPr>
            <w:r>
              <w:t>72%</w:t>
            </w:r>
          </w:p>
        </w:tc>
        <w:tc>
          <w:tcPr>
            <w:tcW w:w="714" w:type="pct"/>
          </w:tcPr>
          <w:p w14:paraId="2ABED370" w14:textId="09034F93" w:rsidR="00AE15E8" w:rsidRDefault="00DD2A39" w:rsidP="00DD2A39">
            <w:pPr>
              <w:jc w:val="center"/>
            </w:pPr>
            <w:r>
              <w:t>92%</w:t>
            </w:r>
          </w:p>
        </w:tc>
        <w:tc>
          <w:tcPr>
            <w:tcW w:w="713" w:type="pct"/>
          </w:tcPr>
          <w:p w14:paraId="75C23B96" w14:textId="1829F97C" w:rsidR="00AE15E8" w:rsidRDefault="0081763B" w:rsidP="00DD2A39">
            <w:pPr>
              <w:jc w:val="center"/>
            </w:pPr>
            <w:r>
              <w:t>12</w:t>
            </w:r>
          </w:p>
        </w:tc>
      </w:tr>
      <w:tr w:rsidR="00AE15E8" w14:paraId="5F9FAA89" w14:textId="77777777" w:rsidTr="00AE15E8">
        <w:tc>
          <w:tcPr>
            <w:tcW w:w="715" w:type="pct"/>
          </w:tcPr>
          <w:p w14:paraId="1B390336" w14:textId="182D983D" w:rsidR="00AE15E8" w:rsidRDefault="00AE15E8" w:rsidP="00AE15E8">
            <w:r>
              <w:t>2018</w:t>
            </w:r>
          </w:p>
        </w:tc>
        <w:tc>
          <w:tcPr>
            <w:tcW w:w="715" w:type="pct"/>
          </w:tcPr>
          <w:p w14:paraId="753CDD85" w14:textId="41D3921D" w:rsidR="00AE15E8" w:rsidRDefault="00AE15E8" w:rsidP="00AE15E8">
            <w:r>
              <w:t>2015-16</w:t>
            </w:r>
          </w:p>
        </w:tc>
        <w:tc>
          <w:tcPr>
            <w:tcW w:w="715" w:type="pct"/>
          </w:tcPr>
          <w:p w14:paraId="3B0B2C48" w14:textId="7D85A05F" w:rsidR="00AE15E8" w:rsidRDefault="00AE15E8" w:rsidP="00DD2A39">
            <w:pPr>
              <w:jc w:val="center"/>
            </w:pPr>
            <w:r>
              <w:t>17</w:t>
            </w:r>
          </w:p>
        </w:tc>
        <w:tc>
          <w:tcPr>
            <w:tcW w:w="714" w:type="pct"/>
          </w:tcPr>
          <w:p w14:paraId="36AE8E77" w14:textId="29390101" w:rsidR="00AE15E8" w:rsidRDefault="00AE15E8" w:rsidP="00DD2A39">
            <w:pPr>
              <w:jc w:val="center"/>
            </w:pPr>
            <w:r>
              <w:t>15</w:t>
            </w:r>
          </w:p>
        </w:tc>
        <w:tc>
          <w:tcPr>
            <w:tcW w:w="714" w:type="pct"/>
          </w:tcPr>
          <w:p w14:paraId="619C2992" w14:textId="47B71B04" w:rsidR="00AE15E8" w:rsidRDefault="00AE15E8" w:rsidP="00DD2A39">
            <w:pPr>
              <w:jc w:val="center"/>
            </w:pPr>
            <w:r>
              <w:t>88%</w:t>
            </w:r>
          </w:p>
        </w:tc>
        <w:tc>
          <w:tcPr>
            <w:tcW w:w="714" w:type="pct"/>
          </w:tcPr>
          <w:p w14:paraId="3EF3A4AD" w14:textId="65EBA5B6" w:rsidR="00AE15E8" w:rsidRDefault="00DD2A39" w:rsidP="00DD2A39">
            <w:pPr>
              <w:jc w:val="center"/>
            </w:pPr>
            <w:r>
              <w:t>100%</w:t>
            </w:r>
          </w:p>
        </w:tc>
        <w:tc>
          <w:tcPr>
            <w:tcW w:w="713" w:type="pct"/>
          </w:tcPr>
          <w:p w14:paraId="24014423" w14:textId="59EE6D35" w:rsidR="00AE15E8" w:rsidRDefault="0081763B" w:rsidP="00DD2A39">
            <w:pPr>
              <w:jc w:val="center"/>
            </w:pPr>
            <w:r>
              <w:t>15</w:t>
            </w:r>
          </w:p>
        </w:tc>
      </w:tr>
      <w:tr w:rsidR="00AE15E8" w14:paraId="040D01CC" w14:textId="77777777" w:rsidTr="00AE15E8">
        <w:tc>
          <w:tcPr>
            <w:tcW w:w="715" w:type="pct"/>
          </w:tcPr>
          <w:p w14:paraId="0B5E2FFA" w14:textId="7538802F" w:rsidR="00AE15E8" w:rsidRDefault="00AE15E8" w:rsidP="00AE15E8">
            <w:r>
              <w:t>2019</w:t>
            </w:r>
          </w:p>
        </w:tc>
        <w:tc>
          <w:tcPr>
            <w:tcW w:w="715" w:type="pct"/>
          </w:tcPr>
          <w:p w14:paraId="37633401" w14:textId="167B5504" w:rsidR="00AE15E8" w:rsidRDefault="00AE15E8" w:rsidP="00AE15E8">
            <w:r>
              <w:t>2016-17</w:t>
            </w:r>
          </w:p>
        </w:tc>
        <w:tc>
          <w:tcPr>
            <w:tcW w:w="715" w:type="pct"/>
          </w:tcPr>
          <w:p w14:paraId="73CEEE51" w14:textId="14C041A4" w:rsidR="00AE15E8" w:rsidRDefault="00AE15E8" w:rsidP="00DD2A39">
            <w:pPr>
              <w:jc w:val="center"/>
            </w:pPr>
            <w:r>
              <w:t>12</w:t>
            </w:r>
          </w:p>
        </w:tc>
        <w:tc>
          <w:tcPr>
            <w:tcW w:w="714" w:type="pct"/>
          </w:tcPr>
          <w:p w14:paraId="64997F1A" w14:textId="0E860E7D" w:rsidR="00AE15E8" w:rsidRDefault="00AE15E8" w:rsidP="00DD2A39">
            <w:pPr>
              <w:jc w:val="center"/>
            </w:pPr>
            <w:r>
              <w:t>12</w:t>
            </w:r>
          </w:p>
        </w:tc>
        <w:tc>
          <w:tcPr>
            <w:tcW w:w="714" w:type="pct"/>
          </w:tcPr>
          <w:p w14:paraId="6FADF504" w14:textId="56945207" w:rsidR="00AE15E8" w:rsidRDefault="00AE15E8" w:rsidP="00DD2A39">
            <w:pPr>
              <w:jc w:val="center"/>
            </w:pPr>
            <w:r>
              <w:t>100%</w:t>
            </w:r>
          </w:p>
        </w:tc>
        <w:tc>
          <w:tcPr>
            <w:tcW w:w="714" w:type="pct"/>
          </w:tcPr>
          <w:p w14:paraId="7F9D7BDB" w14:textId="077EF859" w:rsidR="00AE15E8" w:rsidRDefault="00DD2A39" w:rsidP="00DD2A39">
            <w:pPr>
              <w:jc w:val="center"/>
            </w:pPr>
            <w:r>
              <w:t>92%</w:t>
            </w:r>
          </w:p>
        </w:tc>
        <w:tc>
          <w:tcPr>
            <w:tcW w:w="713" w:type="pct"/>
          </w:tcPr>
          <w:p w14:paraId="57A585DB" w14:textId="010A54C0" w:rsidR="00AE15E8" w:rsidRDefault="0081763B" w:rsidP="00DD2A39">
            <w:pPr>
              <w:jc w:val="center"/>
            </w:pPr>
            <w:r>
              <w:t>11</w:t>
            </w:r>
          </w:p>
        </w:tc>
      </w:tr>
      <w:tr w:rsidR="00AE15E8" w14:paraId="5C482F89" w14:textId="77777777" w:rsidTr="00AE15E8">
        <w:tc>
          <w:tcPr>
            <w:tcW w:w="715" w:type="pct"/>
          </w:tcPr>
          <w:p w14:paraId="020A9D6B" w14:textId="019134E5" w:rsidR="00AE15E8" w:rsidRDefault="00AE15E8" w:rsidP="00AE15E8">
            <w:r>
              <w:t>2020</w:t>
            </w:r>
          </w:p>
        </w:tc>
        <w:tc>
          <w:tcPr>
            <w:tcW w:w="715" w:type="pct"/>
          </w:tcPr>
          <w:p w14:paraId="6C45CF16" w14:textId="44C8DD06" w:rsidR="00AE15E8" w:rsidRDefault="00AE15E8" w:rsidP="00AE15E8">
            <w:r>
              <w:t>201</w:t>
            </w:r>
            <w:r w:rsidR="00641621">
              <w:t>7</w:t>
            </w:r>
            <w:r>
              <w:t>-1</w:t>
            </w:r>
            <w:r w:rsidR="00641621">
              <w:t>8</w:t>
            </w:r>
          </w:p>
        </w:tc>
        <w:tc>
          <w:tcPr>
            <w:tcW w:w="715" w:type="pct"/>
          </w:tcPr>
          <w:p w14:paraId="4D266832" w14:textId="3AF6D48B" w:rsidR="00AE15E8" w:rsidRDefault="00AE15E8" w:rsidP="00DD2A39">
            <w:pPr>
              <w:jc w:val="center"/>
            </w:pPr>
            <w:r>
              <w:t>21</w:t>
            </w:r>
          </w:p>
        </w:tc>
        <w:tc>
          <w:tcPr>
            <w:tcW w:w="714" w:type="pct"/>
          </w:tcPr>
          <w:p w14:paraId="5578119E" w14:textId="73D20F9F" w:rsidR="00AE15E8" w:rsidRDefault="00AE15E8" w:rsidP="00DD2A39">
            <w:pPr>
              <w:jc w:val="center"/>
            </w:pPr>
            <w:r>
              <w:t>19</w:t>
            </w:r>
          </w:p>
        </w:tc>
        <w:tc>
          <w:tcPr>
            <w:tcW w:w="714" w:type="pct"/>
          </w:tcPr>
          <w:p w14:paraId="7A48B0DD" w14:textId="131BADC3" w:rsidR="00AE15E8" w:rsidRDefault="00AE15E8" w:rsidP="00DD2A39">
            <w:pPr>
              <w:jc w:val="center"/>
            </w:pPr>
            <w:r>
              <w:t>90%</w:t>
            </w:r>
          </w:p>
        </w:tc>
        <w:tc>
          <w:tcPr>
            <w:tcW w:w="714" w:type="pct"/>
          </w:tcPr>
          <w:p w14:paraId="51B5FFA7" w14:textId="356798D2" w:rsidR="00AE15E8" w:rsidRDefault="00DD2A39" w:rsidP="00DD2A39">
            <w:pPr>
              <w:jc w:val="center"/>
            </w:pPr>
            <w:r>
              <w:t>86%</w:t>
            </w:r>
          </w:p>
        </w:tc>
        <w:tc>
          <w:tcPr>
            <w:tcW w:w="713" w:type="pct"/>
          </w:tcPr>
          <w:p w14:paraId="4E1D7CC3" w14:textId="4086D15C" w:rsidR="00AE15E8" w:rsidRDefault="0081763B" w:rsidP="00DD2A39">
            <w:pPr>
              <w:jc w:val="center"/>
            </w:pPr>
            <w:r>
              <w:t>18</w:t>
            </w:r>
          </w:p>
        </w:tc>
      </w:tr>
      <w:tr w:rsidR="00AE15E8" w14:paraId="7772981B" w14:textId="77777777" w:rsidTr="00AE15E8">
        <w:tc>
          <w:tcPr>
            <w:tcW w:w="715" w:type="pct"/>
          </w:tcPr>
          <w:p w14:paraId="58548DC9" w14:textId="4F2AE6A0" w:rsidR="00AE15E8" w:rsidRDefault="00AE15E8" w:rsidP="00AE15E8">
            <w:r>
              <w:t>2021</w:t>
            </w:r>
          </w:p>
        </w:tc>
        <w:tc>
          <w:tcPr>
            <w:tcW w:w="715" w:type="pct"/>
          </w:tcPr>
          <w:p w14:paraId="3ED02AE4" w14:textId="3D17B4E1" w:rsidR="00AE15E8" w:rsidRDefault="00AE15E8" w:rsidP="00AE15E8">
            <w:r>
              <w:t>201</w:t>
            </w:r>
            <w:r w:rsidR="00641621">
              <w:t>8</w:t>
            </w:r>
            <w:r>
              <w:t>-</w:t>
            </w:r>
            <w:r w:rsidR="00641621">
              <w:t>19</w:t>
            </w:r>
          </w:p>
        </w:tc>
        <w:tc>
          <w:tcPr>
            <w:tcW w:w="715" w:type="pct"/>
          </w:tcPr>
          <w:p w14:paraId="530A429F" w14:textId="259D5FE5" w:rsidR="00AE15E8" w:rsidRDefault="00AE15E8" w:rsidP="00DD2A39">
            <w:pPr>
              <w:jc w:val="center"/>
            </w:pPr>
            <w:r>
              <w:t>16</w:t>
            </w:r>
          </w:p>
        </w:tc>
        <w:tc>
          <w:tcPr>
            <w:tcW w:w="714" w:type="pct"/>
          </w:tcPr>
          <w:p w14:paraId="4BAAA6C7" w14:textId="24B465C1" w:rsidR="00AE15E8" w:rsidRDefault="00AE15E8" w:rsidP="00DD2A39">
            <w:pPr>
              <w:jc w:val="center"/>
            </w:pPr>
            <w:r>
              <w:t>14</w:t>
            </w:r>
          </w:p>
        </w:tc>
        <w:tc>
          <w:tcPr>
            <w:tcW w:w="714" w:type="pct"/>
          </w:tcPr>
          <w:p w14:paraId="6CCCF20A" w14:textId="27E5D5CD" w:rsidR="00AE15E8" w:rsidRDefault="00AE15E8" w:rsidP="00DD2A39">
            <w:pPr>
              <w:jc w:val="center"/>
            </w:pPr>
            <w:r>
              <w:t>88%</w:t>
            </w:r>
          </w:p>
        </w:tc>
        <w:tc>
          <w:tcPr>
            <w:tcW w:w="714" w:type="pct"/>
          </w:tcPr>
          <w:p w14:paraId="0D6E49FE" w14:textId="369A1DE1" w:rsidR="00AE15E8" w:rsidRDefault="002F1415" w:rsidP="00DD2A39">
            <w:pPr>
              <w:jc w:val="center"/>
            </w:pPr>
            <w:r>
              <w:t>93%</w:t>
            </w:r>
          </w:p>
        </w:tc>
        <w:tc>
          <w:tcPr>
            <w:tcW w:w="713" w:type="pct"/>
          </w:tcPr>
          <w:p w14:paraId="5B195F87" w14:textId="2D39FA3C" w:rsidR="00AE15E8" w:rsidRDefault="002F1415" w:rsidP="00DD2A39">
            <w:pPr>
              <w:jc w:val="center"/>
            </w:pPr>
            <w:r>
              <w:t>13</w:t>
            </w:r>
          </w:p>
        </w:tc>
      </w:tr>
      <w:tr w:rsidR="000F0315" w14:paraId="5E53ADD2" w14:textId="77777777" w:rsidTr="00AE15E8">
        <w:tc>
          <w:tcPr>
            <w:tcW w:w="715" w:type="pct"/>
          </w:tcPr>
          <w:p w14:paraId="02422A64" w14:textId="320C7B83" w:rsidR="000F0315" w:rsidRDefault="000C5724">
            <w:r>
              <w:t>2022</w:t>
            </w:r>
          </w:p>
        </w:tc>
        <w:tc>
          <w:tcPr>
            <w:tcW w:w="715" w:type="pct"/>
          </w:tcPr>
          <w:p w14:paraId="3F60E511" w14:textId="271047EB" w:rsidR="000F0315" w:rsidRDefault="00AE15E8">
            <w:r>
              <w:t>20</w:t>
            </w:r>
            <w:r w:rsidR="00641621">
              <w:t>19</w:t>
            </w:r>
            <w:r>
              <w:t>-2</w:t>
            </w:r>
            <w:r w:rsidR="00641621">
              <w:t>0</w:t>
            </w:r>
          </w:p>
        </w:tc>
        <w:tc>
          <w:tcPr>
            <w:tcW w:w="715" w:type="pct"/>
          </w:tcPr>
          <w:p w14:paraId="03409380" w14:textId="2887DD3A" w:rsidR="000F0315" w:rsidRDefault="009F795A" w:rsidP="00DD2A39">
            <w:pPr>
              <w:jc w:val="center"/>
            </w:pPr>
            <w:r>
              <w:t>19</w:t>
            </w:r>
          </w:p>
        </w:tc>
        <w:tc>
          <w:tcPr>
            <w:tcW w:w="714" w:type="pct"/>
          </w:tcPr>
          <w:p w14:paraId="5F674334" w14:textId="6B9BD286" w:rsidR="000F0315" w:rsidRDefault="00641621" w:rsidP="00DD2A39">
            <w:pPr>
              <w:jc w:val="center"/>
            </w:pPr>
            <w:r>
              <w:t>n/a</w:t>
            </w:r>
          </w:p>
        </w:tc>
        <w:tc>
          <w:tcPr>
            <w:tcW w:w="714" w:type="pct"/>
          </w:tcPr>
          <w:p w14:paraId="178A1A75" w14:textId="24158775" w:rsidR="000F0315" w:rsidRDefault="00641621" w:rsidP="00DD2A39">
            <w:pPr>
              <w:jc w:val="center"/>
            </w:pPr>
            <w:r>
              <w:t>n/a</w:t>
            </w:r>
          </w:p>
        </w:tc>
        <w:tc>
          <w:tcPr>
            <w:tcW w:w="714" w:type="pct"/>
          </w:tcPr>
          <w:p w14:paraId="2825A896" w14:textId="02066856" w:rsidR="000F0315" w:rsidRDefault="00641621" w:rsidP="00DD2A39">
            <w:pPr>
              <w:jc w:val="center"/>
            </w:pPr>
            <w:r>
              <w:t>n/a</w:t>
            </w:r>
          </w:p>
        </w:tc>
        <w:tc>
          <w:tcPr>
            <w:tcW w:w="713" w:type="pct"/>
          </w:tcPr>
          <w:p w14:paraId="47C1512B" w14:textId="02A34430" w:rsidR="000F0315" w:rsidRDefault="00641621" w:rsidP="00DD2A39">
            <w:pPr>
              <w:jc w:val="center"/>
            </w:pPr>
            <w:r>
              <w:t>n/a</w:t>
            </w:r>
          </w:p>
        </w:tc>
      </w:tr>
      <w:tr w:rsidR="00750DF9" w14:paraId="0E84E5D9" w14:textId="77777777" w:rsidTr="00AE15E8">
        <w:tc>
          <w:tcPr>
            <w:tcW w:w="715" w:type="pct"/>
          </w:tcPr>
          <w:p w14:paraId="3705F4A9" w14:textId="0E326B17" w:rsidR="00750DF9" w:rsidRDefault="00750DF9">
            <w:r>
              <w:t>2023</w:t>
            </w:r>
          </w:p>
        </w:tc>
        <w:tc>
          <w:tcPr>
            <w:tcW w:w="715" w:type="pct"/>
          </w:tcPr>
          <w:p w14:paraId="7A87D13B" w14:textId="11C4B034" w:rsidR="00750DF9" w:rsidRDefault="00750DF9">
            <w:r>
              <w:t>2020-21</w:t>
            </w:r>
          </w:p>
        </w:tc>
        <w:tc>
          <w:tcPr>
            <w:tcW w:w="715" w:type="pct"/>
          </w:tcPr>
          <w:p w14:paraId="4772BC78" w14:textId="77777777" w:rsidR="00750DF9" w:rsidRDefault="00750DF9" w:rsidP="00DD2A39">
            <w:pPr>
              <w:jc w:val="center"/>
            </w:pPr>
          </w:p>
        </w:tc>
        <w:tc>
          <w:tcPr>
            <w:tcW w:w="714" w:type="pct"/>
          </w:tcPr>
          <w:p w14:paraId="17B52123" w14:textId="77777777" w:rsidR="00750DF9" w:rsidRDefault="00750DF9" w:rsidP="00DD2A39">
            <w:pPr>
              <w:jc w:val="center"/>
            </w:pPr>
          </w:p>
        </w:tc>
        <w:tc>
          <w:tcPr>
            <w:tcW w:w="714" w:type="pct"/>
          </w:tcPr>
          <w:p w14:paraId="1AC4F184" w14:textId="77777777" w:rsidR="00750DF9" w:rsidRDefault="00750DF9" w:rsidP="00DD2A39">
            <w:pPr>
              <w:jc w:val="center"/>
            </w:pPr>
          </w:p>
        </w:tc>
        <w:tc>
          <w:tcPr>
            <w:tcW w:w="714" w:type="pct"/>
          </w:tcPr>
          <w:p w14:paraId="10721877" w14:textId="77777777" w:rsidR="00750DF9" w:rsidRDefault="00750DF9" w:rsidP="00DD2A39">
            <w:pPr>
              <w:jc w:val="center"/>
            </w:pPr>
          </w:p>
        </w:tc>
        <w:tc>
          <w:tcPr>
            <w:tcW w:w="713" w:type="pct"/>
          </w:tcPr>
          <w:p w14:paraId="042159F6" w14:textId="77777777" w:rsidR="00750DF9" w:rsidRDefault="00750DF9" w:rsidP="00DD2A39">
            <w:pPr>
              <w:jc w:val="center"/>
            </w:pPr>
          </w:p>
        </w:tc>
      </w:tr>
    </w:tbl>
    <w:p w14:paraId="44556BB8" w14:textId="1C124DDC" w:rsidR="000F0315" w:rsidRPr="00750DF9" w:rsidRDefault="000F0315">
      <w:pPr>
        <w:rPr>
          <w:sz w:val="18"/>
        </w:rPr>
      </w:pPr>
    </w:p>
    <w:p w14:paraId="0541A680" w14:textId="2007BB31" w:rsidR="000F0315" w:rsidRPr="00B0000C" w:rsidRDefault="000F0315" w:rsidP="00B000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F0315">
        <w:rPr>
          <w:rFonts w:asciiTheme="minorHAnsi" w:hAnsiTheme="minorHAnsi" w:cstheme="minorHAnsi"/>
        </w:rPr>
        <w:t xml:space="preserve">*Most BSLA majors do not enter the program as freshman, but transfer into the major after they have already been enrolled at UMass. </w:t>
      </w:r>
      <w:r w:rsidR="00DD2A39">
        <w:rPr>
          <w:rFonts w:asciiTheme="minorHAnsi" w:hAnsiTheme="minorHAnsi" w:cstheme="minorHAnsi"/>
        </w:rPr>
        <w:t xml:space="preserve"> </w:t>
      </w:r>
      <w:r w:rsidRPr="000F0315">
        <w:rPr>
          <w:rFonts w:asciiTheme="minorHAnsi" w:hAnsiTheme="minorHAnsi" w:cstheme="minorHAnsi"/>
        </w:rPr>
        <w:t>At that time, they begin the program as “</w:t>
      </w:r>
      <w:r w:rsidR="00B0000C" w:rsidRPr="000F0315">
        <w:rPr>
          <w:rFonts w:asciiTheme="minorHAnsi" w:hAnsiTheme="minorHAnsi" w:cstheme="minorHAnsi"/>
        </w:rPr>
        <w:t>sophomores“</w:t>
      </w:r>
      <w:r w:rsidR="00B0000C">
        <w:rPr>
          <w:rFonts w:asciiTheme="minorHAnsi" w:hAnsiTheme="minorHAnsi" w:cstheme="minorHAnsi"/>
        </w:rPr>
        <w:t xml:space="preserve"> </w:t>
      </w:r>
      <w:r w:rsidR="00B0000C" w:rsidRPr="000F0315">
        <w:rPr>
          <w:rFonts w:asciiTheme="minorHAnsi" w:hAnsiTheme="minorHAnsi" w:cstheme="minorHAnsi"/>
        </w:rPr>
        <w:t>and</w:t>
      </w:r>
      <w:r w:rsidRPr="000F0315">
        <w:rPr>
          <w:rFonts w:asciiTheme="minorHAnsi" w:hAnsiTheme="minorHAnsi" w:cstheme="minorHAnsi"/>
        </w:rPr>
        <w:t xml:space="preserve"> enroll in the sophomore-level studio. </w:t>
      </w:r>
      <w:r>
        <w:rPr>
          <w:rFonts w:asciiTheme="minorHAnsi" w:hAnsiTheme="minorHAnsi" w:cstheme="minorHAnsi"/>
        </w:rPr>
        <w:t xml:space="preserve"> </w:t>
      </w:r>
      <w:r w:rsidRPr="000F0315">
        <w:rPr>
          <w:rFonts w:asciiTheme="minorHAnsi" w:hAnsiTheme="minorHAnsi" w:cstheme="minorHAnsi"/>
        </w:rPr>
        <w:t xml:space="preserve">Therefore, the sophomore studio is the best measure of the number of students entering the BSLA program. </w:t>
      </w:r>
    </w:p>
    <w:sectPr w:rsidR="000F0315" w:rsidRPr="00B0000C" w:rsidSect="00361D1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1C5A" w14:textId="77777777" w:rsidR="00361D16" w:rsidRDefault="00361D16" w:rsidP="00361D16">
      <w:r>
        <w:separator/>
      </w:r>
    </w:p>
  </w:endnote>
  <w:endnote w:type="continuationSeparator" w:id="0">
    <w:p w14:paraId="6BCA1699" w14:textId="77777777" w:rsidR="00361D16" w:rsidRDefault="00361D16" w:rsidP="003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D7FA" w14:textId="77777777" w:rsidR="00361D16" w:rsidRDefault="00361D16" w:rsidP="00361D16">
      <w:r>
        <w:separator/>
      </w:r>
    </w:p>
  </w:footnote>
  <w:footnote w:type="continuationSeparator" w:id="0">
    <w:p w14:paraId="24EC826B" w14:textId="77777777" w:rsidR="00361D16" w:rsidRDefault="00361D16" w:rsidP="003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CD89A" w14:textId="66944D04" w:rsidR="00361D16" w:rsidRDefault="00361D16" w:rsidP="00361D16">
    <w:pPr>
      <w:pStyle w:val="Header"/>
      <w:jc w:val="right"/>
    </w:pPr>
    <w:r w:rsidRPr="00361D16">
      <w:rPr>
        <w:noProof/>
      </w:rPr>
      <w:drawing>
        <wp:inline distT="0" distB="0" distL="0" distR="0" wp14:anchorId="5AC5CBAD" wp14:editId="7663D179">
          <wp:extent cx="3597502" cy="11049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114" cy="110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15"/>
    <w:rsid w:val="000C5724"/>
    <w:rsid w:val="000F0315"/>
    <w:rsid w:val="002F1415"/>
    <w:rsid w:val="00361D16"/>
    <w:rsid w:val="003E6D3E"/>
    <w:rsid w:val="005239F9"/>
    <w:rsid w:val="00641621"/>
    <w:rsid w:val="00656310"/>
    <w:rsid w:val="00750DF9"/>
    <w:rsid w:val="0081763B"/>
    <w:rsid w:val="009F795A"/>
    <w:rsid w:val="00AE15E8"/>
    <w:rsid w:val="00B0000C"/>
    <w:rsid w:val="00DD2A39"/>
    <w:rsid w:val="00F6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63049"/>
  <w15:chartTrackingRefBased/>
  <w15:docId w15:val="{7513F947-0CC7-1048-8144-AB04384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3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1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16"/>
  </w:style>
  <w:style w:type="paragraph" w:styleId="Footer">
    <w:name w:val="footer"/>
    <w:basedOn w:val="Normal"/>
    <w:link w:val="FooterChar"/>
    <w:uiPriority w:val="99"/>
    <w:unhideWhenUsed/>
    <w:rsid w:val="00361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16"/>
  </w:style>
  <w:style w:type="character" w:styleId="Hyperlink">
    <w:name w:val="Hyperlink"/>
    <w:basedOn w:val="DefaultParagraphFont"/>
    <w:uiPriority w:val="99"/>
    <w:unhideWhenUsed/>
    <w:rsid w:val="00361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mass.edu/bursar/sites/default/files/Ugrad%20Full%20Time_Fall%202021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F3748498A341B769676E7CBA596F" ma:contentTypeVersion="14" ma:contentTypeDescription="Create a new document." ma:contentTypeScope="" ma:versionID="ad712c7008bc77db62596083605b7300">
  <xsd:schema xmlns:xsd="http://www.w3.org/2001/XMLSchema" xmlns:xs="http://www.w3.org/2001/XMLSchema" xmlns:p="http://schemas.microsoft.com/office/2006/metadata/properties" xmlns:ns3="b0e7b354-9ff1-4bd6-b5e9-fb9a672678d6" xmlns:ns4="1745f4ef-3edf-4f5d-a79a-a5b056c4bfe2" targetNamespace="http://schemas.microsoft.com/office/2006/metadata/properties" ma:root="true" ma:fieldsID="664c9cd70ceeda24917ef124cbd55d91" ns3:_="" ns4:_="">
    <xsd:import namespace="b0e7b354-9ff1-4bd6-b5e9-fb9a672678d6"/>
    <xsd:import namespace="1745f4ef-3edf-4f5d-a79a-a5b056c4bf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b354-9ff1-4bd6-b5e9-fb9a672678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f4ef-3edf-4f5d-a79a-a5b056c4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417E0-0200-4979-877D-CC935906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7b354-9ff1-4bd6-b5e9-fb9a672678d6"/>
    <ds:schemaRef ds:uri="1745f4ef-3edf-4f5d-a79a-a5b056c4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4940C-7CE4-4620-9AD7-2643CEB06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4F9CA-AA8C-4E76-B24F-9257E7601B8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1745f4ef-3edf-4f5d-a79a-a5b056c4bfe2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e7b354-9ff1-4bd6-b5e9-fb9a67267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McGirr</dc:creator>
  <cp:keywords/>
  <dc:description/>
  <cp:lastModifiedBy>Kellie Nicholas</cp:lastModifiedBy>
  <cp:revision>2</cp:revision>
  <dcterms:created xsi:type="dcterms:W3CDTF">2022-06-29T13:29:00Z</dcterms:created>
  <dcterms:modified xsi:type="dcterms:W3CDTF">2022-06-29T13:29:00Z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0x01010002BCF3748498A341B769676E7CBA596F</vt:lpwstr>
  </property>
</Properties>
</file>