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F" w:rsidRDefault="009E0F05">
      <w:pPr>
        <w:spacing w:after="0"/>
      </w:pPr>
      <w:r>
        <w:t xml:space="preserve">wrzesień 2020 </w:t>
      </w:r>
    </w:p>
    <w:p w:rsidR="005C66DF" w:rsidRDefault="005C66DF">
      <w:pPr>
        <w:spacing w:after="0"/>
      </w:pPr>
    </w:p>
    <w:p w:rsidR="005C66DF" w:rsidRDefault="009E0F05">
      <w:pPr>
        <w:spacing w:after="0"/>
      </w:pPr>
      <w:r>
        <w:t>Odbiorcy:</w:t>
      </w:r>
      <w:r>
        <w:tab/>
        <w:t>Pracownicy na pełnym przymusowym urlopie tymczasowym</w:t>
      </w:r>
    </w:p>
    <w:p w:rsidR="005C66DF" w:rsidRDefault="009E0F05">
      <w:pPr>
        <w:spacing w:after="0"/>
      </w:pPr>
      <w:r>
        <w:t>W sprawie:</w:t>
      </w:r>
      <w:r>
        <w:tab/>
      </w:r>
      <w:r>
        <w:rPr>
          <w:b/>
          <w:bCs/>
        </w:rPr>
        <w:t>Państwa składki GIC</w:t>
      </w:r>
    </w:p>
    <w:p w:rsidR="005C66DF" w:rsidRDefault="005C66DF">
      <w:pPr>
        <w:spacing w:after="0"/>
      </w:pPr>
    </w:p>
    <w:p w:rsidR="005C66DF" w:rsidRDefault="009E0F05">
      <w:pPr>
        <w:spacing w:after="0"/>
      </w:pPr>
      <w:r>
        <w:t xml:space="preserve">To ogłoszenie ma za zadanie pomóc tym z Państwa, którzy otrzymali zawiadomienie o skierowaniu na tymczasowy urlop przymusowy oraz opłacili </w:t>
      </w:r>
      <w:r>
        <w:t>ubezpieczenie poprzez Komisję Ubezpieczeń Grupowych stanu Massachusetts (Group Insurance Commission, GIC).</w:t>
      </w:r>
    </w:p>
    <w:p w:rsidR="005C66DF" w:rsidRDefault="005C66DF">
      <w:pPr>
        <w:spacing w:after="0"/>
      </w:pPr>
    </w:p>
    <w:p w:rsidR="005C66DF" w:rsidRDefault="009E0F05">
      <w:pPr>
        <w:spacing w:after="0"/>
      </w:pPr>
      <w:r>
        <w:t>Podczas przebywania na tymczasowym urlopie przymusowym, mają Państwo prawo do zachowania Państwa obecnego ubezpieczenia zdrowotnego, podstawowego ub</w:t>
      </w:r>
      <w:r>
        <w:t>ezpieczenie na życie oraz (jeśli wybrali je Państwo wcześniej) opcjonalnych ubezpieczeń na życie i długoterminowego ubezpieczenia na wypadek niezdolności do pracy. Uniwersytet będzie w dalszym ciągu płacić swoją część składek, a Państwa stawki pozostaną na</w:t>
      </w:r>
      <w:r>
        <w:t xml:space="preserve"> poziomie pracowniczym. Jeśli zamierzają Państwo zachować swoje ubezpieczenie na czas urlopu, muszą Państwo ustalić, w jaki sposób chcą Państwo płacić swoją część składki.</w:t>
      </w:r>
    </w:p>
    <w:p w:rsidR="005C66DF" w:rsidRDefault="005C66DF">
      <w:pPr>
        <w:spacing w:after="0"/>
      </w:pPr>
    </w:p>
    <w:p w:rsidR="005C66DF" w:rsidRDefault="009E0F05">
      <w:pPr>
        <w:spacing w:after="0"/>
      </w:pPr>
      <w:r>
        <w:t>Istnieją dwa sposoby na opłacanie Państwa obecnych składek ubezpieczeniowych tak, b</w:t>
      </w:r>
      <w:r>
        <w:t>y ubezpieczenie w dalszym ciągu pokrywało Państwa w trakcie urlopu. Proszę dokładnie przeczytać poniższe opisy.</w:t>
      </w:r>
    </w:p>
    <w:p w:rsidR="005C66DF" w:rsidRDefault="005C66DF">
      <w:pPr>
        <w:spacing w:after="0"/>
      </w:pPr>
    </w:p>
    <w:p w:rsidR="005C66DF" w:rsidRDefault="009E0F05">
      <w:pPr>
        <w:pStyle w:val="ListParagraph"/>
        <w:numPr>
          <w:ilvl w:val="0"/>
          <w:numId w:val="1"/>
        </w:numPr>
        <w:spacing w:after="0"/>
        <w:ind w:left="540"/>
      </w:pPr>
      <w:r>
        <w:rPr>
          <w:b/>
        </w:rPr>
        <w:t>Mogą Państwo opłacać swoje składki ubezpieczeniowe bezpośrednio do GIC.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Gdy będą Państwo na całkowitym urlopie bezpłatnym, GIC będzie regularni</w:t>
      </w:r>
      <w:r>
        <w:t>e wysyłać Państwu (zwykłą pocztą) rachunki za składki, które byłyby potrącone z Państwa wypłaty.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Proszę sprawdzić system HR Direct w celu upewnienia się, że Państwa adres pocztowy jest poprawnie zapisany.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Jeśli nie będą Państwo opłacać rachunków na czas (z</w:t>
      </w:r>
      <w:r>
        <w:t>a pomocą czeku, gotówki lub karty debetowej bądź kredytowej), GIC skasuje Państwa ubezpieczenie.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W przypadku, gdy Państwa ubezpieczenie zostanie skasowane, nie będą Państwo mogli zapisać się ponownie do czasu okresu rejestracyjnego następującego po Państwa</w:t>
      </w:r>
      <w:r>
        <w:t xml:space="preserve"> powrocie do pracy z urlopu na stanowisko objęte świadczeniami.</w:t>
      </w:r>
    </w:p>
    <w:p w:rsidR="005C66DF" w:rsidRDefault="009E0F05">
      <w:pPr>
        <w:spacing w:after="0"/>
      </w:pPr>
      <w:r>
        <w:rPr>
          <w:b/>
        </w:rPr>
        <w:t>—LUB—</w:t>
      </w:r>
    </w:p>
    <w:p w:rsidR="005C66DF" w:rsidRDefault="009E0F05">
      <w:pPr>
        <w:pStyle w:val="ListParagraph"/>
        <w:numPr>
          <w:ilvl w:val="0"/>
          <w:numId w:val="1"/>
        </w:numPr>
        <w:spacing w:after="0"/>
        <w:ind w:left="630" w:hanging="450"/>
      </w:pPr>
      <w:r>
        <w:rPr>
          <w:b/>
        </w:rPr>
        <w:t>Mogą Państwo wykorzystać wypracowany urlop płatny w celu opłacenia Państwa części składek ubezpieczeniowych.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Liczba dni wypracowanego urlopu wykorzystanego na dany okres rozliczeniowy bę</w:t>
      </w:r>
      <w:r>
        <w:t>dzie zależeć od ilości potrzebnej do opłacenia Państwa potrąceń.</w:t>
      </w: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 xml:space="preserve">Jeśli zdecydują się Państwo wykorzystać wypracowany urlop płatny. Uniwersytet zapłaci za dwa dni wykorzystanego urlopu na każdy okres rozliczeniowy, w następującej kolejności:  </w:t>
      </w:r>
      <w:r>
        <w:rPr>
          <w:rFonts w:cstheme="minorHAnsi"/>
        </w:rPr>
        <w:t>odbioru godzin</w:t>
      </w:r>
      <w:r>
        <w:rPr>
          <w:rFonts w:cstheme="minorHAnsi"/>
        </w:rPr>
        <w:t xml:space="preserve"> nadliczbowych, urlopu osobistego, odpoczynkowego, lub chorobowego, w celu pokrycia potrąceń za: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>Państwa części składki GIC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>składki członkowskiej związku zawodowego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>konto zmiennych wpłat i wydatków GIC</w:t>
      </w:r>
      <w:r>
        <w:rPr>
          <w:b/>
        </w:rPr>
        <w:t>*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>zaliczki na podatki stanowe i federalne*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 xml:space="preserve">dobrowolne </w:t>
      </w:r>
      <w:r>
        <w:t>wpłaty na konto emerytalne*</w:t>
      </w:r>
    </w:p>
    <w:p w:rsidR="005C66DF" w:rsidRDefault="009E0F05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530" w:hanging="270"/>
      </w:pPr>
      <w:r>
        <w:t>inne potrącenia pojawiające się na Państwa co dwutygodniowym odcinku wypłaty*</w:t>
      </w:r>
    </w:p>
    <w:p w:rsidR="005C66DF" w:rsidRDefault="005C66DF">
      <w:pPr>
        <w:pStyle w:val="ListParagraph"/>
        <w:tabs>
          <w:tab w:val="left" w:pos="900"/>
        </w:tabs>
        <w:spacing w:after="0"/>
        <w:ind w:left="1530"/>
        <w:rPr>
          <w:b/>
        </w:rPr>
      </w:pPr>
    </w:p>
    <w:p w:rsidR="005C66DF" w:rsidRDefault="009E0F05">
      <w:pPr>
        <w:pStyle w:val="ListParagraph"/>
        <w:numPr>
          <w:ilvl w:val="2"/>
          <w:numId w:val="2"/>
        </w:numPr>
        <w:spacing w:after="0"/>
        <w:ind w:left="900" w:hanging="360"/>
      </w:pPr>
      <w:r>
        <w:t>Jeśli skończy się Państwu wypracowany urlop płatny, jeśli dwa dni urlopu okażą się niewystarczające na opłacenie Państwa składek, lub jeśli GIC nie p</w:t>
      </w:r>
      <w:r>
        <w:t>otrąci Państwa składek, otrzymają Państwo rachunek pocztą od GIC i będą Państwo musieli zapłacić składki bezpośrednio do GIC. Jeśli nie będą Państwo opłacać rachunków na czas (za pomocą czeku, gotówki lub karty debetowej bądź kredytowej), GIC skasuje Państ</w:t>
      </w:r>
      <w:r>
        <w:t>wa ubezpieczenie.</w:t>
      </w:r>
    </w:p>
    <w:p w:rsidR="005C66DF" w:rsidRDefault="005C66DF">
      <w:pPr>
        <w:pStyle w:val="ListParagraph"/>
        <w:spacing w:after="0"/>
        <w:ind w:left="2700"/>
      </w:pPr>
    </w:p>
    <w:p w:rsidR="005C66DF" w:rsidRDefault="009E0F05">
      <w:pPr>
        <w:pStyle w:val="ListParagraph"/>
        <w:numPr>
          <w:ilvl w:val="1"/>
          <w:numId w:val="1"/>
        </w:numPr>
        <w:spacing w:after="0"/>
        <w:ind w:left="900"/>
      </w:pPr>
      <w:r>
        <w:t>Proszę sprawdzić system HR Direct w celu upewnienia się, że Państwa adres pocztowy jest poprawnie zapisany oraz sprawdzenia, ile urlopu płatnego mają Państwo do dyspozycji.</w:t>
      </w:r>
    </w:p>
    <w:p w:rsidR="005C66DF" w:rsidRDefault="005C66DF">
      <w:pPr>
        <w:spacing w:after="0"/>
        <w:rPr>
          <w:b/>
        </w:rPr>
      </w:pPr>
    </w:p>
    <w:p w:rsidR="005C66DF" w:rsidRDefault="009E0F05">
      <w:pPr>
        <w:spacing w:after="0"/>
      </w:pPr>
      <w:r>
        <w:rPr>
          <w:b/>
          <w:sz w:val="23"/>
          <w:szCs w:val="23"/>
          <w:u w:val="single"/>
        </w:rPr>
        <w:t>Departament Pomocy dla Bezrobotnych stanu Massachusetts (Depart</w:t>
      </w:r>
      <w:r>
        <w:rPr>
          <w:b/>
          <w:sz w:val="23"/>
          <w:szCs w:val="23"/>
          <w:u w:val="single"/>
        </w:rPr>
        <w:t>ment of Unemployment Assistance, DUA): Jeśli pobierają Państwo lub zamierzają pobierać zasiłek dla bezrobotnych, muszą Państwo zgłosić pieniądze zarobione z urlopu płatnego i przeznaczone na opłacenie składek ubezpieczeniowych we wniosku o zasiłek dla bezr</w:t>
      </w:r>
      <w:r>
        <w:rPr>
          <w:b/>
          <w:sz w:val="23"/>
          <w:szCs w:val="23"/>
          <w:u w:val="single"/>
        </w:rPr>
        <w:t>obotnych.</w:t>
      </w:r>
      <w:r>
        <w:t xml:space="preserve"> </w:t>
      </w:r>
      <w:r>
        <w:t xml:space="preserve">Niezrobienie tego może negatywnie wpłynąć na możliwość pobierania przez Państwa zasiłku dla bezrobotnych. Mogą Państwo znaleźć kwoty zarobków do zgłoszenia w odcinku wypłaty w systemie HR Direct. Instrukcje ponownego otwarcia złożonego wniosku o </w:t>
      </w:r>
      <w:r>
        <w:t xml:space="preserve">bezrobocie znajdują się on-line </w:t>
      </w:r>
      <w:r>
        <w:t>(</w:t>
      </w:r>
      <w:hyperlink r:id="rId6">
        <w:r>
          <w:rPr>
            <w:rStyle w:val="czeinternetowe"/>
          </w:rPr>
          <w:t>www.mass.gov/managing-your-unemployment-benefits</w:t>
        </w:r>
      </w:hyperlink>
      <w:r>
        <w:t>); proszę skontaktować się z DUA w razie pytań. Numer telefonu: 877-626-6800.</w:t>
      </w:r>
    </w:p>
    <w:p w:rsidR="005C66DF" w:rsidRDefault="005C66DF">
      <w:pPr>
        <w:spacing w:after="0"/>
      </w:pPr>
    </w:p>
    <w:p w:rsidR="005C66DF" w:rsidRDefault="009E0F05">
      <w:r>
        <w:rPr>
          <w:b/>
        </w:rPr>
        <w:t>Proszę o zgłoszenie e</w:t>
      </w:r>
      <w:r>
        <w:rPr>
          <w:b/>
        </w:rPr>
        <w:t>-mailem (</w:t>
      </w:r>
      <w:hyperlink r:id="rId7">
        <w:r>
          <w:rPr>
            <w:rStyle w:val="czeinternetowe"/>
            <w:b/>
          </w:rPr>
          <w:t>askhr@umass.edu</w:t>
        </w:r>
      </w:hyperlink>
      <w:r>
        <w:rPr>
          <w:b/>
        </w:rPr>
        <w:t xml:space="preserve">) Państwa decyzji co do sposobu pokrywania składek ubezpieczeniowych do dnia 20 września 2020, co pozwoli nam na </w:t>
      </w:r>
      <w:r>
        <w:rPr>
          <w:b/>
        </w:rPr>
        <w:t>dostosowanie się do Państwa wyboru. Jeśli nie dostaniemy od Państwa odpowiedz</w:t>
      </w:r>
      <w:r>
        <w:rPr>
          <w:b/>
        </w:rPr>
        <w:t>i do upłynięcia tego terminu, wykorzystamy Państwa płatny urlop zgodnie z krokami opisanymi w punkcie 2 powyżej. Jeśli nie dysponują Państwo wystarczającą ilością płatnego urlopu potrzebną do pokrycia składek, zastosujemy się do punktu 1 i GIC wyśle Państw</w:t>
      </w:r>
      <w:r>
        <w:rPr>
          <w:b/>
        </w:rPr>
        <w:t>u rachunek za Państwa część składki ubezpieczenia zdrowotnego.</w:t>
      </w:r>
    </w:p>
    <w:p w:rsidR="005C66DF" w:rsidRDefault="005C66DF">
      <w:pPr>
        <w:spacing w:after="0"/>
        <w:rPr>
          <w:b/>
        </w:rPr>
      </w:pPr>
    </w:p>
    <w:p w:rsidR="005C66DF" w:rsidRDefault="009E0F05">
      <w:pPr>
        <w:spacing w:after="0"/>
      </w:pPr>
      <w:r>
        <w:rPr>
          <w:b/>
        </w:rPr>
        <w:t>Jeśli mają Państwo dalsze pytania dotyczące pokrycia i potrąceń, proszę skontaktować się z działem kadr w Państwa dziale.</w:t>
      </w:r>
    </w:p>
    <w:p w:rsidR="005C66DF" w:rsidRDefault="005C66DF">
      <w:pPr>
        <w:spacing w:after="0"/>
        <w:rPr>
          <w:b/>
        </w:rPr>
      </w:pPr>
    </w:p>
    <w:bookmarkStart w:id="0" w:name="_GoBack"/>
    <w:bookmarkEnd w:id="0"/>
    <w:p w:rsidR="005C66DF" w:rsidRDefault="009E0F05">
      <w:pPr>
        <w:spacing w:after="0"/>
        <w:ind w:left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709825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821805" cy="127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55pt" to="537.05pt,1.55pt" ID="Straight Connector 1" stroked="t" style="position:absolute;mso-position-horizontal:left;mso-position-horizontal-relative:margin" wp14:anchorId="3709825A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5C66DF" w:rsidRDefault="009E0F05">
      <w:pPr>
        <w:spacing w:after="0"/>
      </w:pPr>
      <w:r>
        <w:rPr>
          <w:b/>
        </w:rPr>
        <w:t xml:space="preserve">* Proszę zapoznać się z dokumentem o nazwie „Wpływ tymczasowego </w:t>
      </w:r>
      <w:r>
        <w:rPr>
          <w:b/>
        </w:rPr>
        <w:t>urlopu bezpłatnego jesienią 2020 r. na świadczenia,” dostarczonym wraz z zawiadomieniem o skierowaniu na tymczasowy urlop bezpłatny w celu przeczytania instrukcji wprowadzania zmian w tych potrąceniach. Poza tym:</w:t>
      </w:r>
    </w:p>
    <w:p w:rsidR="005C66DF" w:rsidRDefault="005C66DF">
      <w:pPr>
        <w:spacing w:after="0"/>
        <w:rPr>
          <w:b/>
        </w:rPr>
      </w:pPr>
    </w:p>
    <w:p w:rsidR="005C66DF" w:rsidRDefault="009E0F05">
      <w:pPr>
        <w:spacing w:after="0"/>
        <w:ind w:left="360"/>
      </w:pPr>
      <w:r>
        <w:rPr>
          <w:rFonts w:cstheme="minorHAnsi"/>
          <w:b/>
        </w:rPr>
        <w:t xml:space="preserve">Jeśli chcą Państwo skasować część (lub </w:t>
      </w:r>
      <w:r>
        <w:rPr>
          <w:rFonts w:cstheme="minorHAnsi"/>
          <w:b/>
        </w:rPr>
        <w:t>całość) swojego ubezpieczenia GIC</w:t>
      </w:r>
    </w:p>
    <w:p w:rsidR="005C66DF" w:rsidRDefault="009E0F05">
      <w:pPr>
        <w:spacing w:after="144" w:line="240" w:lineRule="auto"/>
        <w:ind w:left="360"/>
        <w:outlineLvl w:val="3"/>
      </w:pPr>
      <w:r>
        <w:rPr>
          <w:rFonts w:eastAsia="Times New Roman" w:cstheme="minorHAnsi"/>
          <w:bCs/>
          <w:color w:val="141414"/>
        </w:rPr>
        <w:t xml:space="preserve">Tymczasowy urlop bezpłatny jest wydarzeniem uprawniającym do skasowania części lub całości ubezpieczeń GIC, z datą pierwszego dnia następującego miesiąca. Powrót z bezpłatnego urlopu tymczasowego </w:t>
      </w:r>
      <w:r>
        <w:rPr>
          <w:rFonts w:eastAsia="Times New Roman" w:cstheme="minorHAnsi"/>
          <w:b/>
          <w:bCs/>
          <w:color w:val="141414"/>
        </w:rPr>
        <w:t xml:space="preserve">nie jest </w:t>
      </w:r>
      <w:r>
        <w:rPr>
          <w:rFonts w:eastAsia="Times New Roman" w:cstheme="minorHAnsi"/>
          <w:bCs/>
          <w:color w:val="141414"/>
        </w:rPr>
        <w:t>jednak wydarzenie</w:t>
      </w:r>
      <w:r>
        <w:rPr>
          <w:rFonts w:eastAsia="Times New Roman" w:cstheme="minorHAnsi"/>
          <w:bCs/>
          <w:color w:val="141414"/>
        </w:rPr>
        <w:t>m uprawniającym do ponownego zgłoszenia się do ubezpieczenia.</w:t>
      </w:r>
    </w:p>
    <w:p w:rsidR="005C66DF" w:rsidRDefault="009E0F05">
      <w:pPr>
        <w:spacing w:after="144" w:line="240" w:lineRule="auto"/>
        <w:ind w:left="360"/>
        <w:outlineLvl w:val="3"/>
      </w:pPr>
      <w:r>
        <w:rPr>
          <w:rFonts w:eastAsia="Times New Roman" w:cstheme="minorHAnsi"/>
          <w:b/>
          <w:bCs/>
          <w:color w:val="141414"/>
        </w:rPr>
        <w:t xml:space="preserve">Przed upłynięciem trzydziestego dnia kalendarzowego urlopu bezpłatnego </w:t>
      </w:r>
      <w:r>
        <w:rPr>
          <w:rFonts w:eastAsia="Times New Roman" w:cstheme="minorHAnsi"/>
          <w:bCs/>
          <w:color w:val="141414"/>
        </w:rPr>
        <w:t>(dla osób rozpoczynających urlop 13 września 2020 roku, nie później niż 9 października 2020 r.), mogą Państwo:</w:t>
      </w:r>
    </w:p>
    <w:p w:rsidR="005C66DF" w:rsidRDefault="009E0F05">
      <w:pPr>
        <w:pStyle w:val="ListParagraph"/>
        <w:numPr>
          <w:ilvl w:val="0"/>
          <w:numId w:val="4"/>
        </w:numPr>
        <w:spacing w:after="144" w:line="240" w:lineRule="auto"/>
        <w:ind w:left="1080"/>
        <w:outlineLvl w:val="3"/>
      </w:pPr>
      <w:r>
        <w:rPr>
          <w:rFonts w:eastAsia="Times New Roman" w:cstheme="minorHAnsi"/>
          <w:bCs/>
          <w:color w:val="141414"/>
        </w:rPr>
        <w:t>Wypełnić i w</w:t>
      </w:r>
      <w:r>
        <w:rPr>
          <w:rFonts w:eastAsia="Times New Roman" w:cstheme="minorHAnsi"/>
          <w:bCs/>
          <w:color w:val="141414"/>
        </w:rPr>
        <w:t>ysłać on-line wniosek o zgłoszenie/zmianę (</w:t>
      </w:r>
      <w:hyperlink r:id="rId8">
        <w:r>
          <w:rPr>
            <w:rStyle w:val="czeinternetowe"/>
            <w:rFonts w:eastAsia="Times New Roman" w:cstheme="minorHAnsi"/>
            <w:bCs/>
          </w:rPr>
          <w:t>GIC Enrollment/Change Form (“Form 1a”)</w:t>
        </w:r>
      </w:hyperlink>
      <w:r>
        <w:rPr>
          <w:rFonts w:eastAsia="Times New Roman" w:cstheme="minorHAnsi"/>
          <w:bCs/>
          <w:color w:val="141414"/>
        </w:rPr>
        <w:t xml:space="preserve"> ) poprzez system </w:t>
      </w:r>
      <w:hyperlink r:id="rId9">
        <w:r>
          <w:rPr>
            <w:rStyle w:val="czeinternetowe"/>
            <w:rFonts w:eastAsia="Times New Roman" w:cstheme="minorHAnsi"/>
            <w:bCs/>
          </w:rPr>
          <w:t>MyGICLink</w:t>
        </w:r>
      </w:hyperlink>
      <w:r>
        <w:rPr>
          <w:rFonts w:eastAsia="Times New Roman" w:cstheme="minorHAnsi"/>
          <w:bCs/>
          <w:color w:val="141414"/>
        </w:rPr>
        <w:t xml:space="preserve"> lub osobiście w </w:t>
      </w:r>
      <w:r>
        <w:rPr>
          <w:rFonts w:eastAsia="Times New Roman" w:cstheme="minorHAnsi"/>
          <w:bCs/>
          <w:color w:val="141414"/>
        </w:rPr>
        <w:t xml:space="preserve">centrum </w:t>
      </w:r>
      <w:r>
        <w:rPr>
          <w:rFonts w:eastAsia="Times New Roman" w:cstheme="minorHAnsi"/>
          <w:bCs/>
          <w:color w:val="141414"/>
        </w:rPr>
        <w:t>obsługi pracownika działu kadr (</w:t>
      </w:r>
      <w:hyperlink r:id="rId10">
        <w:r>
          <w:rPr>
            <w:rStyle w:val="czeinternetowe"/>
            <w:rFonts w:eastAsia="Times New Roman" w:cstheme="minorHAnsi"/>
            <w:bCs/>
          </w:rPr>
          <w:t>Human Resources Employee Service Center</w:t>
        </w:r>
      </w:hyperlink>
      <w:r>
        <w:rPr>
          <w:rFonts w:eastAsia="Times New Roman" w:cstheme="minorHAnsi"/>
          <w:bCs/>
          <w:color w:val="141414"/>
        </w:rPr>
        <w:t>, w celu skasowania ubezpieczenia zdrowotnego, dobrowolnego ubezpiecz</w:t>
      </w:r>
      <w:r>
        <w:rPr>
          <w:rFonts w:eastAsia="Times New Roman" w:cstheme="minorHAnsi"/>
          <w:bCs/>
          <w:color w:val="141414"/>
        </w:rPr>
        <w:t>enia na życie, długoterminowego ubezpieczenia na wypadek niezdolności do pracy lub podstawowego ubezpieczenia na życie.</w:t>
      </w:r>
    </w:p>
    <w:p w:rsidR="005C66DF" w:rsidRDefault="009E0F05">
      <w:pPr>
        <w:pStyle w:val="ListParagraph"/>
        <w:numPr>
          <w:ilvl w:val="0"/>
          <w:numId w:val="4"/>
        </w:numPr>
        <w:spacing w:after="144" w:line="240" w:lineRule="auto"/>
        <w:ind w:left="1080"/>
        <w:outlineLvl w:val="3"/>
      </w:pPr>
      <w:r>
        <w:rPr>
          <w:rFonts w:eastAsia="Times New Roman" w:cstheme="minorHAnsi"/>
          <w:bCs/>
          <w:color w:val="141414"/>
        </w:rPr>
        <w:t>Zmniejszyć lub zrezygnować z udziału w Państwa planie wsparcia opiekunów osób będących na utrzymaniu (Dependent Care Assistance Plan), w</w:t>
      </w:r>
      <w:r>
        <w:rPr>
          <w:rFonts w:eastAsia="Times New Roman" w:cstheme="minorHAnsi"/>
          <w:bCs/>
          <w:color w:val="141414"/>
        </w:rPr>
        <w:t>ypełniając on-line formularz Zmiany statusu (</w:t>
      </w:r>
      <w:r>
        <w:rPr>
          <w:rFonts w:eastAsia="Times New Roman" w:cstheme="minorHAnsi"/>
          <w:bCs/>
          <w:color w:val="000000" w:themeColor="text1"/>
        </w:rPr>
        <w:t>Change in Status) w systemie Benefits Strategies (</w:t>
      </w:r>
      <w:hyperlink r:id="rId11">
        <w:r>
          <w:rPr>
            <w:rStyle w:val="czeinternetowe"/>
            <w:rFonts w:cstheme="minorHAnsi"/>
            <w:color w:val="000000" w:themeColor="text1"/>
          </w:rPr>
          <w:t>www.benstrat.com/gic-fsa/</w:t>
        </w:r>
      </w:hyperlink>
      <w:r>
        <w:rPr>
          <w:rFonts w:eastAsia="Times New Roman" w:cstheme="minorHAnsi"/>
          <w:bCs/>
          <w:color w:val="000000" w:themeColor="text1"/>
        </w:rPr>
        <w:t>)</w:t>
      </w:r>
    </w:p>
    <w:p w:rsidR="005C66DF" w:rsidRDefault="009E0F05">
      <w:pPr>
        <w:pStyle w:val="ListParagraph"/>
        <w:spacing w:after="144" w:line="240" w:lineRule="auto"/>
        <w:ind w:left="1080"/>
        <w:outlineLvl w:val="3"/>
      </w:pPr>
      <w:r>
        <w:rPr>
          <w:rFonts w:eastAsia="Times New Roman" w:cstheme="minorHAnsi"/>
          <w:bCs/>
          <w:color w:val="000000" w:themeColor="text1"/>
        </w:rPr>
        <w:t xml:space="preserve">Tymczasowy przymusowy urlop bezpłatny nie jest wydarzeniem uprawniającym do </w:t>
      </w:r>
      <w:r>
        <w:rPr>
          <w:rFonts w:eastAsia="Times New Roman" w:cstheme="minorHAnsi"/>
          <w:bCs/>
          <w:color w:val="000000" w:themeColor="text1"/>
        </w:rPr>
        <w:t xml:space="preserve">skasowania bądź zmiany udziału w koncie wydatków na opiekę zdrowotną (Health Care Spending Account, HCSA).  Będąc na urlopie bezpłatnym, nie mogą Państwo ponosić wydatków kwalifikujących się do HCSA, chyba, że Państwa skłądki są potrącane z wypłaty lub </w:t>
      </w:r>
      <w:r>
        <w:rPr>
          <w:rFonts w:eastAsia="Times New Roman" w:cstheme="minorHAnsi"/>
          <w:bCs/>
          <w:color w:val="000000" w:themeColor="text1"/>
        </w:rPr>
        <w:t>wpł</w:t>
      </w:r>
      <w:r>
        <w:rPr>
          <w:rFonts w:eastAsia="Times New Roman" w:cstheme="minorHAnsi"/>
          <w:bCs/>
          <w:color w:val="000000" w:themeColor="text1"/>
        </w:rPr>
        <w:t xml:space="preserve">acają </w:t>
      </w:r>
      <w:r>
        <w:rPr>
          <w:rFonts w:eastAsia="Times New Roman" w:cstheme="minorHAnsi"/>
          <w:bCs/>
          <w:color w:val="000000" w:themeColor="text1"/>
        </w:rPr>
        <w:t>Państwo składki bezpośrednio do Benefits Strategies.</w:t>
      </w:r>
    </w:p>
    <w:p w:rsidR="005C66DF" w:rsidRDefault="009E0F05">
      <w:pPr>
        <w:spacing w:after="144" w:line="240" w:lineRule="auto"/>
        <w:ind w:left="360"/>
        <w:outlineLvl w:val="3"/>
      </w:pPr>
      <w:r>
        <w:rPr>
          <w:rFonts w:eastAsia="Times New Roman" w:cstheme="minorHAnsi"/>
          <w:b/>
          <w:bCs/>
          <w:color w:val="141414"/>
          <w:u w:val="single"/>
        </w:rPr>
        <w:lastRenderedPageBreak/>
        <w:t>Jeśli zrezygnują Państwo z ubezpieczeń GIC:</w:t>
      </w:r>
    </w:p>
    <w:p w:rsidR="005C66DF" w:rsidRDefault="009E0F05">
      <w:pPr>
        <w:pStyle w:val="ListParagraph"/>
        <w:numPr>
          <w:ilvl w:val="0"/>
          <w:numId w:val="3"/>
        </w:numPr>
        <w:spacing w:after="144" w:line="240" w:lineRule="auto"/>
        <w:ind w:left="1080"/>
        <w:outlineLvl w:val="3"/>
      </w:pPr>
      <w:r>
        <w:rPr>
          <w:rFonts w:eastAsia="Times New Roman" w:cstheme="minorHAnsi"/>
          <w:bCs/>
          <w:color w:val="141414"/>
        </w:rPr>
        <w:t>Ubezpieczenie zdrowotne i podstawowe ubezpieczenie na życie: następna okazja do zapisania się do ubezpieczenia jako pracownik uprawniony do świadczeń prz</w:t>
      </w:r>
      <w:r>
        <w:rPr>
          <w:rFonts w:eastAsia="Times New Roman" w:cstheme="minorHAnsi"/>
          <w:bCs/>
          <w:color w:val="141414"/>
        </w:rPr>
        <w:t>ypada na:</w:t>
      </w:r>
    </w:p>
    <w:p w:rsidR="005C66DF" w:rsidRDefault="009E0F05">
      <w:pPr>
        <w:pStyle w:val="ListParagraph"/>
        <w:numPr>
          <w:ilvl w:val="1"/>
          <w:numId w:val="3"/>
        </w:numPr>
        <w:spacing w:after="144" w:line="240" w:lineRule="auto"/>
        <w:ind w:left="1710"/>
        <w:outlineLvl w:val="3"/>
      </w:pPr>
      <w:r>
        <w:rPr>
          <w:rFonts w:eastAsia="Times New Roman" w:cstheme="minorHAnsi"/>
          <w:bCs/>
          <w:color w:val="141414"/>
        </w:rPr>
        <w:t xml:space="preserve">Okres rejestracyjny (zazwyczaj w kwietniu, </w:t>
      </w:r>
      <w:r>
        <w:rPr>
          <w:rFonts w:eastAsia="Times New Roman" w:cstheme="minorHAnsi"/>
          <w:bCs/>
          <w:color w:val="141414"/>
        </w:rPr>
        <w:t xml:space="preserve">dla polis </w:t>
      </w:r>
      <w:r>
        <w:rPr>
          <w:rFonts w:eastAsia="Times New Roman" w:cstheme="minorHAnsi"/>
          <w:bCs/>
          <w:color w:val="141414"/>
        </w:rPr>
        <w:t>ubezpieczeniowych rozpoczynających się 1 lipca)</w:t>
      </w:r>
    </w:p>
    <w:p w:rsidR="005C66DF" w:rsidRDefault="009E0F05">
      <w:pPr>
        <w:pStyle w:val="ListParagraph"/>
        <w:numPr>
          <w:ilvl w:val="1"/>
          <w:numId w:val="3"/>
        </w:numPr>
        <w:spacing w:after="144" w:line="240" w:lineRule="auto"/>
        <w:ind w:left="1710"/>
        <w:outlineLvl w:val="3"/>
      </w:pPr>
      <w:r>
        <w:rPr>
          <w:rFonts w:eastAsia="Times New Roman" w:cstheme="minorHAnsi"/>
          <w:bCs/>
          <w:color w:val="141414"/>
        </w:rPr>
        <w:t>W ciągu 60 dni od znaczącej zmiany sytuacji życiowej (za okazaniem dowodu zdarzenia), na przykład niezawiniona utrata innego ubezpieczenia zdrowo</w:t>
      </w:r>
      <w:r>
        <w:rPr>
          <w:rFonts w:eastAsia="Times New Roman" w:cstheme="minorHAnsi"/>
          <w:bCs/>
          <w:color w:val="141414"/>
        </w:rPr>
        <w:t>tnego, małżeństwo, narodziny/adopcja dziecka/dzieci.</w:t>
      </w:r>
    </w:p>
    <w:p w:rsidR="005C66DF" w:rsidRDefault="009E0F05">
      <w:pPr>
        <w:pStyle w:val="ListParagraph"/>
        <w:numPr>
          <w:ilvl w:val="0"/>
          <w:numId w:val="3"/>
        </w:numPr>
        <w:spacing w:after="144" w:line="240" w:lineRule="auto"/>
        <w:ind w:left="1080"/>
        <w:outlineLvl w:val="3"/>
      </w:pPr>
      <w:r>
        <w:rPr>
          <w:rFonts w:eastAsia="Times New Roman" w:cstheme="minorHAnsi"/>
          <w:bCs/>
          <w:color w:val="141414"/>
        </w:rPr>
        <w:t>Dobrowolne ubezpieczenie na życie i/lub długoterminowe ubezpieczenie na wypadek niezdolności do pracy: mogą Państwo zapisać się do ubezpieczenia po powrocie z urlopu. Wniosek o objęcie ubezpieczeniem moż</w:t>
      </w:r>
      <w:r>
        <w:rPr>
          <w:rFonts w:eastAsia="Times New Roman" w:cstheme="minorHAnsi"/>
          <w:bCs/>
          <w:color w:val="141414"/>
        </w:rPr>
        <w:t>e zostać odrzucony z powodu niespełnienia wymogów dowodu zdolności ubezpieczeniowej (medyczna analiza zdolności ubezpieczeniowej wykonana przez ubezpieczyciela).</w:t>
      </w:r>
    </w:p>
    <w:sectPr w:rsidR="005C66DF">
      <w:pgSz w:w="12240" w:h="15840"/>
      <w:pgMar w:top="720" w:right="1152" w:bottom="720" w:left="115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61A"/>
    <w:multiLevelType w:val="multilevel"/>
    <w:tmpl w:val="DBEA3EB8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F3CA0"/>
    <w:multiLevelType w:val="multilevel"/>
    <w:tmpl w:val="2BFEFF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6005D"/>
    <w:multiLevelType w:val="multilevel"/>
    <w:tmpl w:val="44A4A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273C77"/>
    <w:multiLevelType w:val="multilevel"/>
    <w:tmpl w:val="E21E4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3B0D04"/>
    <w:multiLevelType w:val="multilevel"/>
    <w:tmpl w:val="ECA88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F"/>
    <w:rsid w:val="005C66DF"/>
    <w:rsid w:val="009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318C-80BA-4353-924E-5C2B90B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8367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8367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8367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367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efaultParagraphFont"/>
    <w:uiPriority w:val="99"/>
    <w:unhideWhenUsed/>
    <w:rsid w:val="007F3ED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22034B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rsid w:val="0022034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663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8367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836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36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.edu/humres/sites/default/files/GIC%20non-oe%20form%201a%202018-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skhr@umass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managing-your-unemployment-benefits" TargetMode="External"/><Relationship Id="rId11" Type="http://schemas.openxmlformats.org/officeDocument/2006/relationships/hyperlink" Target="http://www.benstrat.com/gic-fs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ass.edu/humres/employee-service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giclink.force.com/GenerateDocusign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9F76-AA1B-4AFA-B1D0-E2DA9356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Thomas</dc:creator>
  <dc:description/>
  <cp:lastModifiedBy>Shawn Lindholm</cp:lastModifiedBy>
  <cp:revision>2</cp:revision>
  <dcterms:created xsi:type="dcterms:W3CDTF">2020-09-08T18:47:00Z</dcterms:created>
  <dcterms:modified xsi:type="dcterms:W3CDTF">2020-09-08T18:47:00Z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Amherst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