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6F" w:rsidRDefault="00A154F0">
      <w:pPr>
        <w:tabs>
          <w:tab w:val="center" w:pos="1443"/>
          <w:tab w:val="center" w:pos="2163"/>
          <w:tab w:val="center" w:pos="2883"/>
          <w:tab w:val="center" w:pos="3603"/>
          <w:tab w:val="center" w:pos="4323"/>
          <w:tab w:val="left" w:pos="5043"/>
          <w:tab w:val="left" w:pos="6328"/>
        </w:tabs>
        <w:jc w:val="center"/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u w:val="single"/>
          <w:lang w:val="pl-PL"/>
        </w:rPr>
        <w:t>Wpływ tymczasowego urlopu bezpłatnego jesienią 2020 r. na świadczenia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u w:val="single"/>
          <w:lang w:val="pl-PL"/>
        </w:rPr>
        <w:br/>
        <w:t>Pracownicy objęci memorandum porozumienia AFSCME</w:t>
      </w:r>
    </w:p>
    <w:p w:rsidR="002A346F" w:rsidRDefault="002A346F">
      <w:pPr>
        <w:tabs>
          <w:tab w:val="center" w:pos="1443"/>
          <w:tab w:val="center" w:pos="2163"/>
          <w:tab w:val="center" w:pos="2883"/>
          <w:tab w:val="center" w:pos="3603"/>
          <w:tab w:val="center" w:pos="4323"/>
          <w:tab w:val="left" w:pos="5043"/>
          <w:tab w:val="left" w:pos="6328"/>
        </w:tabs>
        <w:rPr>
          <w:rFonts w:ascii="Times New Roman" w:eastAsia="Times New Roman" w:hAnsi="Times New Roman" w:cs="Times New Roman"/>
          <w:bCs/>
          <w:iCs/>
          <w:color w:val="000000" w:themeColor="text1"/>
          <w:sz w:val="12"/>
          <w:szCs w:val="12"/>
          <w:lang w:val="pl-PL"/>
        </w:rPr>
      </w:pPr>
    </w:p>
    <w:p w:rsidR="002A346F" w:rsidRPr="00A154F0" w:rsidRDefault="00A154F0">
      <w:pPr>
        <w:pStyle w:val="BodyText"/>
        <w:spacing w:before="205" w:after="240" w:line="247" w:lineRule="auto"/>
        <w:ind w:left="107" w:right="115"/>
        <w:rPr>
          <w:lang w:val="pl-PL"/>
        </w:rPr>
      </w:pPr>
      <w:r>
        <w:rPr>
          <w:sz w:val="23"/>
          <w:szCs w:val="23"/>
          <w:lang w:val="pl-PL"/>
        </w:rPr>
        <w:t xml:space="preserve">Ten dokument omawia wpływ </w:t>
      </w:r>
      <w:r>
        <w:rPr>
          <w:sz w:val="23"/>
          <w:szCs w:val="23"/>
          <w:lang w:val="pl-PL"/>
        </w:rPr>
        <w:t>tymczasowego</w:t>
      </w:r>
      <w:r>
        <w:rPr>
          <w:sz w:val="23"/>
          <w:szCs w:val="23"/>
          <w:lang w:val="pl-PL"/>
        </w:rPr>
        <w:t xml:space="preserve"> urlopu bezpłatnego (pełnoetatowego i połowicznego) na świadczenia. Ten dokument zakłada, że są </w:t>
      </w:r>
      <w:r>
        <w:rPr>
          <w:sz w:val="23"/>
          <w:szCs w:val="23"/>
          <w:lang w:val="pl-PL"/>
        </w:rPr>
        <w:t>państwo na stanowisku objętym świadczeniami (co najmniej pół etatu).</w:t>
      </w:r>
    </w:p>
    <w:p w:rsidR="002A346F" w:rsidRPr="00A154F0" w:rsidRDefault="00A154F0">
      <w:pPr>
        <w:pStyle w:val="BodyText"/>
        <w:spacing w:before="243" w:after="240"/>
        <w:ind w:left="107" w:right="129"/>
        <w:rPr>
          <w:lang w:val="pl-PL"/>
        </w:rPr>
      </w:pPr>
      <w:r>
        <w:rPr>
          <w:sz w:val="23"/>
          <w:szCs w:val="23"/>
          <w:u w:val="single"/>
          <w:lang w:val="pl-PL"/>
        </w:rPr>
        <w:t>Rezerwa niewykorzystanych urlopów chorobowych, wypoczynkowych i osobistych:</w:t>
      </w:r>
      <w:r>
        <w:rPr>
          <w:sz w:val="23"/>
          <w:szCs w:val="23"/>
          <w:lang w:val="pl-PL"/>
        </w:rPr>
        <w:t xml:space="preserve"> tymczasowy urlop bezpłatny nie wpływa na Państwa niewykorzystane urlopy chorobowe, wypoczynkowe i osobiste.</w:t>
      </w:r>
    </w:p>
    <w:p w:rsidR="002A346F" w:rsidRPr="00A154F0" w:rsidRDefault="00A154F0">
      <w:pPr>
        <w:pStyle w:val="BodyText"/>
        <w:spacing w:before="243" w:after="240"/>
        <w:ind w:left="107" w:right="129"/>
        <w:rPr>
          <w:lang w:val="pl-PL"/>
        </w:rPr>
      </w:pPr>
      <w:r w:rsidRPr="00A154F0">
        <w:rPr>
          <w:u w:val="single"/>
          <w:lang w:val="pl-PL"/>
        </w:rPr>
        <w:t>Świ</w:t>
      </w:r>
      <w:r w:rsidRPr="00A154F0">
        <w:rPr>
          <w:u w:val="single"/>
          <w:lang w:val="pl-PL"/>
        </w:rPr>
        <w:t>ęta</w:t>
      </w:r>
      <w:r w:rsidRPr="00A154F0">
        <w:rPr>
          <w:lang w:val="pl-PL"/>
        </w:rPr>
        <w:t>: dostaną Państwo wypłatę za dni świąt, chyba, że będą Państwo na tymczasowym urlopie bezpłatnym w dniu, w którym obchodzone jest święto</w:t>
      </w:r>
    </w:p>
    <w:p w:rsidR="002A346F" w:rsidRDefault="00A154F0">
      <w:pPr>
        <w:pStyle w:val="BodyText"/>
        <w:spacing w:after="240"/>
        <w:ind w:left="107" w:right="141"/>
      </w:pPr>
      <w:r>
        <w:rPr>
          <w:sz w:val="23"/>
          <w:szCs w:val="23"/>
          <w:u w:val="single"/>
          <w:lang w:val="pl-PL"/>
        </w:rPr>
        <w:t>Ubezpieczenie zdrowotne:</w:t>
      </w:r>
      <w:r>
        <w:rPr>
          <w:sz w:val="23"/>
          <w:szCs w:val="23"/>
          <w:lang w:val="pl-PL"/>
        </w:rPr>
        <w:t xml:space="preserve"> Będą Państwo w dalszym ciągu uprawnieni do ubezpieczenia i pozostaną Państwo objęci obecnym</w:t>
      </w:r>
      <w:r>
        <w:rPr>
          <w:sz w:val="23"/>
          <w:szCs w:val="23"/>
          <w:lang w:val="pl-PL"/>
        </w:rPr>
        <w:t xml:space="preserve"> ubezpieczeniem zdrowotnym, podstawową polisą na życie i (opcjonalnie) dodatkową polisą na życie i długoterminowym ubezpieczeniem na wypadek niezdolności do pracy. Jeśli </w:t>
      </w:r>
      <w:r>
        <w:rPr>
          <w:sz w:val="23"/>
          <w:szCs w:val="23"/>
          <w:lang w:val="pl-PL"/>
        </w:rPr>
        <w:t>są Państwo: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>Na połowicznym urlopie</w:t>
      </w:r>
      <w:r>
        <w:rPr>
          <w:sz w:val="23"/>
          <w:szCs w:val="23"/>
          <w:lang w:val="pl-PL"/>
        </w:rPr>
        <w:t xml:space="preserve"> GIC będzie w dalszym ciągu pobierać składki ubezpie</w:t>
      </w:r>
      <w:r>
        <w:rPr>
          <w:sz w:val="23"/>
          <w:szCs w:val="23"/>
          <w:lang w:val="pl-PL"/>
        </w:rPr>
        <w:t>czeniowe z Państwa zarobków przy każdej wypłacie. Do Państwa odpowiedzialności należy monitorowanie codwutygodniowych wypłat w celu zapewnienia, że potrącone zostały odpowiednie kwoty. Jeśli dostaną Państwo rachunek za składki ubezpieczeniowe, są Państwo o</w:t>
      </w:r>
      <w:r>
        <w:rPr>
          <w:sz w:val="23"/>
          <w:szCs w:val="23"/>
          <w:lang w:val="pl-PL"/>
        </w:rPr>
        <w:t>dpowiedzialni za płacenie składek na czas w celu zapewnienia ciągłości ubezpieczenia.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>Na całkowitym urlopie z wykorzystaniem wypracowanego urlop</w:t>
      </w:r>
      <w:r>
        <w:rPr>
          <w:sz w:val="23"/>
          <w:szCs w:val="23"/>
          <w:u w:val="single"/>
          <w:lang w:val="pl-PL"/>
        </w:rPr>
        <w:t>u</w:t>
      </w:r>
      <w:r>
        <w:rPr>
          <w:sz w:val="23"/>
          <w:szCs w:val="23"/>
          <w:u w:val="single"/>
          <w:lang w:val="pl-PL"/>
        </w:rPr>
        <w:t>,</w:t>
      </w:r>
      <w:r>
        <w:rPr>
          <w:sz w:val="23"/>
          <w:szCs w:val="23"/>
          <w:lang w:val="pl-PL"/>
        </w:rPr>
        <w:t xml:space="preserve"> GIC będzie w dalszym ciągu pobierać składki ubezpieczeniowe z Państwa zarobków przy każdej wypłacie. Pracowni</w:t>
      </w:r>
      <w:r>
        <w:rPr>
          <w:sz w:val="23"/>
          <w:szCs w:val="23"/>
          <w:lang w:val="pl-PL"/>
        </w:rPr>
        <w:t>cy mogą uzgodnić ze swoją wydziałową sekcją działu kadr wykorzystywanie jednego dnia wypracowanego czasu urlopowego na każdy okres wypłaty, w celu pokrycia składek ubezpieczeniowych. Jeśli Państwa składka wynosi więcej, niż Państwa wynagrodzenie, powinni P</w:t>
      </w:r>
      <w:r>
        <w:rPr>
          <w:sz w:val="23"/>
          <w:szCs w:val="23"/>
          <w:lang w:val="pl-PL"/>
        </w:rPr>
        <w:t>aństwo się skontaktować z wydziałową sekcją działu kadr w celu omówienia alternatywnych rozwiązań. Proszę sprawdzić, czy wybrali Państwo dodatkowe potrącenia podatkowe, które są stosowane przed składkami ubezpieczeniowymi; dodatkowe potrącenia podatkowe mo</w:t>
      </w:r>
      <w:r>
        <w:rPr>
          <w:sz w:val="23"/>
          <w:szCs w:val="23"/>
          <w:lang w:val="pl-PL"/>
        </w:rPr>
        <w:t>gą zostać poprawione w HR Direct.</w:t>
      </w:r>
    </w:p>
    <w:p w:rsidR="002A346F" w:rsidRPr="00A154F0" w:rsidRDefault="00A154F0">
      <w:pPr>
        <w:pStyle w:val="BodyText"/>
        <w:spacing w:after="240"/>
        <w:ind w:left="1294" w:right="141"/>
        <w:rPr>
          <w:lang w:val="pl-PL"/>
        </w:rPr>
      </w:pPr>
      <w:bookmarkStart w:id="0" w:name="__DdeLink__155_1626011399"/>
      <w:r>
        <w:rPr>
          <w:sz w:val="23"/>
          <w:szCs w:val="23"/>
          <w:lang w:val="pl-PL"/>
        </w:rPr>
        <w:t>Do Państwa odpowiedzialności należy monitorowanie codwutygodniowych wypłat w celu zapewnienia, że potrącone zostały odpowiednie kwoty.</w:t>
      </w:r>
      <w:bookmarkEnd w:id="0"/>
      <w:r>
        <w:rPr>
          <w:sz w:val="23"/>
          <w:szCs w:val="23"/>
          <w:lang w:val="pl-PL"/>
        </w:rPr>
        <w:t xml:space="preserve"> Jeśli dostaną Państwo rachunek za składki ubezpieczeniowe, są Państwo odpowiedzialni za</w:t>
      </w:r>
      <w:r>
        <w:rPr>
          <w:sz w:val="23"/>
          <w:szCs w:val="23"/>
          <w:lang w:val="pl-PL"/>
        </w:rPr>
        <w:t xml:space="preserve"> płacenie składek na czas w celu zapewnienia ciągłości ubezpieczenia.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 xml:space="preserve">Na całkowitym urlopie bez wykorzystania wypracowanego urlopu, </w:t>
      </w:r>
      <w:r>
        <w:rPr>
          <w:sz w:val="23"/>
          <w:szCs w:val="23"/>
          <w:lang w:val="pl-PL"/>
        </w:rPr>
        <w:t xml:space="preserve">GIC wyśle Państwu rachunek za składki ubezpieczeniowe do domu, w takiej wysokości jak obecnie. </w:t>
      </w:r>
      <w:r>
        <w:rPr>
          <w:sz w:val="23"/>
          <w:szCs w:val="23"/>
          <w:lang w:val="pl-PL"/>
        </w:rPr>
        <w:t>S</w:t>
      </w:r>
      <w:r>
        <w:rPr>
          <w:sz w:val="23"/>
          <w:szCs w:val="23"/>
          <w:lang w:val="pl-PL"/>
        </w:rPr>
        <w:t xml:space="preserve">ą Państwo odpowiedzialni za </w:t>
      </w:r>
      <w:r>
        <w:rPr>
          <w:sz w:val="23"/>
          <w:szCs w:val="23"/>
          <w:lang w:val="pl-PL"/>
        </w:rPr>
        <w:t>płacenie składek na czas w celu zapewnienia ciągłości ubezpieczenia.</w:t>
      </w:r>
    </w:p>
    <w:p w:rsidR="002A346F" w:rsidRPr="00A154F0" w:rsidRDefault="00A154F0">
      <w:pPr>
        <w:ind w:left="467"/>
        <w:rPr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 xml:space="preserve">Proszę zwrócić uwagę, że GIC skasuje Państwa ubezpieczenie w przypadku nieopłacenia składki ubezpieczeniowej na czas. Jeśli się to wydarzy, mogą nie być Państwo w stanie ponownie zapisać </w:t>
      </w:r>
      <w:r>
        <w:rPr>
          <w:rFonts w:ascii="Times New Roman" w:hAnsi="Times New Roman" w:cs="Times New Roman"/>
          <w:sz w:val="23"/>
          <w:szCs w:val="23"/>
          <w:lang w:val="pl-PL"/>
        </w:rPr>
        <w:t>się do ubezpieczenia zdrowotnego do następnego okresu rejestracyjnego dla pracowników ze świadczeniami (następny okres rejestracyjny będzie miał miejsce wiosną 2021, dla ubezpieczeń rozpoczynających się od lipca 2021) i mogą być Państwo trwale wykluczeni z</w:t>
      </w:r>
      <w:r>
        <w:rPr>
          <w:rFonts w:ascii="Times New Roman" w:hAnsi="Times New Roman" w:cs="Times New Roman"/>
          <w:sz w:val="23"/>
          <w:szCs w:val="23"/>
          <w:lang w:val="pl-PL"/>
        </w:rPr>
        <w:t xml:space="preserve"> długoterminowego ubezpieczenia na wypadek niezdolności do pracy oraz z opcjonalnej dodatkowej polisy na życie.</w:t>
      </w:r>
    </w:p>
    <w:p w:rsidR="002A346F" w:rsidRDefault="002A346F">
      <w:pPr>
        <w:tabs>
          <w:tab w:val="decimal" w:pos="5580"/>
        </w:tabs>
        <w:rPr>
          <w:rFonts w:ascii="Times New Roman" w:hAnsi="Times New Roman" w:cs="Times New Roman"/>
          <w:sz w:val="23"/>
          <w:szCs w:val="23"/>
          <w:lang w:val="pl-PL"/>
        </w:rPr>
      </w:pPr>
    </w:p>
    <w:p w:rsidR="002A346F" w:rsidRPr="00A154F0" w:rsidRDefault="00A154F0">
      <w:pPr>
        <w:pStyle w:val="BodyText"/>
        <w:spacing w:after="240"/>
        <w:ind w:left="467" w:right="155"/>
        <w:rPr>
          <w:lang w:val="pl-PL"/>
        </w:rPr>
      </w:pPr>
      <w:r>
        <w:rPr>
          <w:sz w:val="23"/>
          <w:szCs w:val="23"/>
          <w:lang w:val="pl-PL"/>
        </w:rPr>
        <w:lastRenderedPageBreak/>
        <w:t>GIC to agencja odpowiedzialna za wszystkie świadczenia GIC (numer telefonu: 617.727.2310).</w:t>
      </w:r>
    </w:p>
    <w:p w:rsidR="002A346F" w:rsidRPr="00A154F0" w:rsidRDefault="00A154F0">
      <w:pPr>
        <w:pStyle w:val="BodyText"/>
        <w:spacing w:after="240" w:line="247" w:lineRule="auto"/>
        <w:ind w:left="174" w:right="281"/>
        <w:rPr>
          <w:lang w:val="pl-PL"/>
        </w:rPr>
      </w:pPr>
      <w:r>
        <w:rPr>
          <w:sz w:val="23"/>
          <w:szCs w:val="23"/>
          <w:u w:val="single"/>
          <w:lang w:val="pl-PL"/>
        </w:rPr>
        <w:t>Konto na zmienne wydatki GIC:</w:t>
      </w:r>
      <w:r>
        <w:rPr>
          <w:sz w:val="23"/>
          <w:szCs w:val="23"/>
          <w:lang w:val="pl-PL"/>
        </w:rPr>
        <w:t xml:space="preserve"> Jeśli wpłacają Państwo środki w ramach </w:t>
      </w:r>
      <w:r>
        <w:rPr>
          <w:sz w:val="23"/>
          <w:szCs w:val="23"/>
          <w:lang w:val="pl-PL"/>
        </w:rPr>
        <w:t>Dependent Care Assistance Program (Program wsparcia opiekunów osób będących na utrzymaniu, DCAP), zmiana Państwa ekwiwalentu pełnego czasu pracy jest dobrą okazją na zmianę wyboru DCAP online za pomocą Benefits Strat</w:t>
      </w:r>
      <w:r>
        <w:rPr>
          <w:sz w:val="23"/>
          <w:szCs w:val="23"/>
          <w:lang w:val="pl-PL"/>
        </w:rPr>
        <w:t xml:space="preserve">egies </w:t>
      </w:r>
      <w:hyperlink r:id="rId8">
        <w:r>
          <w:rPr>
            <w:sz w:val="23"/>
            <w:szCs w:val="23"/>
            <w:lang w:val="pl-PL"/>
          </w:rPr>
          <w:t>(</w:t>
        </w:r>
      </w:hyperlink>
      <w:hyperlink r:id="rId9">
        <w:r>
          <w:rPr>
            <w:rStyle w:val="czeinternetowe"/>
            <w:color w:val="auto"/>
            <w:sz w:val="23"/>
            <w:szCs w:val="23"/>
            <w:u w:val="none"/>
            <w:lang w:val="pl-PL"/>
          </w:rPr>
          <w:t>www.benstrat.com/gic-fsa/</w:t>
        </w:r>
      </w:hyperlink>
      <w:hyperlink r:id="rId10">
        <w:r>
          <w:rPr>
            <w:sz w:val="23"/>
            <w:szCs w:val="23"/>
            <w:lang w:val="pl-PL"/>
          </w:rPr>
          <w:t>)</w:t>
        </w:r>
      </w:hyperlink>
      <w:r>
        <w:rPr>
          <w:sz w:val="23"/>
          <w:szCs w:val="23"/>
          <w:lang w:val="pl-PL"/>
        </w:rPr>
        <w:t>. Muszą Państwo rozpocząć tę zmianę w ciągu 30 dni od zmiany w Pa</w:t>
      </w:r>
      <w:r>
        <w:rPr>
          <w:sz w:val="23"/>
          <w:szCs w:val="23"/>
          <w:lang w:val="pl-PL"/>
        </w:rPr>
        <w:t xml:space="preserve">ństwa ekwiwalencie pełnego czasu pracy. Zmiana ekwiwalentu pełnego czasu pracy nie umożliwia zmiany wyboru </w:t>
      </w:r>
      <w:r>
        <w:rPr>
          <w:sz w:val="23"/>
          <w:szCs w:val="23"/>
          <w:lang w:val="pl-PL"/>
        </w:rPr>
        <w:t>Health Care Spending Account (Konto wydatków na opiekę zdrowotną, HCSA).</w:t>
      </w:r>
      <w:r>
        <w:rPr>
          <w:sz w:val="23"/>
          <w:szCs w:val="23"/>
          <w:lang w:val="pl-PL"/>
        </w:rPr>
        <w:br/>
      </w:r>
      <w:r>
        <w:rPr>
          <w:sz w:val="23"/>
          <w:szCs w:val="23"/>
          <w:u w:val="single"/>
          <w:lang w:val="pl-PL"/>
        </w:rPr>
        <w:br/>
        <w:t>Ubezpieczenie zdrowotne:</w:t>
      </w:r>
      <w:r>
        <w:rPr>
          <w:sz w:val="23"/>
          <w:szCs w:val="23"/>
          <w:lang w:val="pl-PL"/>
        </w:rPr>
        <w:t xml:space="preserve"> Tymczasowy urlop bezpłatny (zarówno całkowity, jak</w:t>
      </w:r>
      <w:r>
        <w:rPr>
          <w:sz w:val="23"/>
          <w:szCs w:val="23"/>
          <w:lang w:val="pl-PL"/>
        </w:rPr>
        <w:t xml:space="preserve"> i częściowy) nie wpływa na Państwa ubezpieczenie zdrowotne </w:t>
      </w:r>
      <w:r>
        <w:rPr>
          <w:sz w:val="23"/>
          <w:szCs w:val="23"/>
          <w:lang w:val="pl-PL"/>
        </w:rPr>
        <w:t>ani</w:t>
      </w:r>
      <w:r>
        <w:rPr>
          <w:sz w:val="23"/>
          <w:szCs w:val="23"/>
          <w:lang w:val="pl-PL"/>
        </w:rPr>
        <w:t xml:space="preserve"> okulistyczne.</w:t>
      </w:r>
    </w:p>
    <w:p w:rsidR="002A346F" w:rsidRDefault="00A154F0">
      <w:pPr>
        <w:pStyle w:val="BodyText"/>
        <w:spacing w:before="211" w:after="240"/>
        <w:ind w:left="174"/>
      </w:pPr>
      <w:r>
        <w:rPr>
          <w:sz w:val="23"/>
          <w:szCs w:val="23"/>
          <w:u w:val="single"/>
          <w:lang w:val="pl-PL"/>
        </w:rPr>
        <w:t>S</w:t>
      </w:r>
      <w:r>
        <w:rPr>
          <w:sz w:val="23"/>
          <w:szCs w:val="23"/>
          <w:u w:val="single"/>
          <w:lang w:val="pl-PL"/>
        </w:rPr>
        <w:t>ystem emerytalny pracowników stanowych stanu Massachusetts (MSERS / system emerytalny / program określonych świadczeń):</w:t>
      </w:r>
      <w:r>
        <w:rPr>
          <w:sz w:val="23"/>
          <w:szCs w:val="23"/>
          <w:lang w:val="pl-PL"/>
        </w:rPr>
        <w:br/>
        <w:t>Urząd emerytur stanowych stanu Massachusetts jest agencją</w:t>
      </w:r>
      <w:r>
        <w:rPr>
          <w:sz w:val="23"/>
          <w:szCs w:val="23"/>
          <w:lang w:val="pl-PL"/>
        </w:rPr>
        <w:t xml:space="preserve"> odpowiedzialną za świadczenia MSERS (numer telefonu: 617.367.7770). Obecnie, jeśli są Państwo: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>Na całkowitym urlopie bez wykorzystania wypracowanego urlopu,</w:t>
      </w:r>
      <w:r>
        <w:rPr>
          <w:sz w:val="23"/>
          <w:szCs w:val="23"/>
          <w:lang w:val="pl-PL"/>
        </w:rPr>
        <w:t xml:space="preserve"> nie będą Państwo wypracowywać emerytury. Czas spędzony na urlopie nie może zostać wykupiony jako u</w:t>
      </w:r>
      <w:r>
        <w:rPr>
          <w:sz w:val="23"/>
          <w:szCs w:val="23"/>
          <w:lang w:val="pl-PL"/>
        </w:rPr>
        <w:t>znawany czas pracy MSERS.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 xml:space="preserve">Na połowicznym urlopie lub wykorzystują Państwo wypracowany urlop podczas urlopu tymczasowego, </w:t>
      </w:r>
      <w:r>
        <w:rPr>
          <w:sz w:val="23"/>
          <w:szCs w:val="23"/>
          <w:lang w:val="pl-PL"/>
        </w:rPr>
        <w:t>czas objęty wypłatą zostanie uznany za czas pracy na rzecz emerytury MSERS. Czas spędzony na urlopie tymczasowym nie może zostać wykupi</w:t>
      </w:r>
      <w:r>
        <w:rPr>
          <w:sz w:val="23"/>
          <w:szCs w:val="23"/>
          <w:lang w:val="pl-PL"/>
        </w:rPr>
        <w:t>ony jako uznawany czas pracy MSERS.</w:t>
      </w:r>
    </w:p>
    <w:p w:rsidR="002A346F" w:rsidRPr="00A154F0" w:rsidRDefault="00A154F0" w:rsidP="00A154F0">
      <w:pPr>
        <w:pStyle w:val="BodyText"/>
        <w:spacing w:before="156" w:after="240" w:line="247" w:lineRule="auto"/>
        <w:ind w:left="174" w:right="413"/>
        <w:rPr>
          <w:lang w:val="pl-PL"/>
        </w:rPr>
      </w:pPr>
      <w:r>
        <w:rPr>
          <w:sz w:val="23"/>
          <w:szCs w:val="23"/>
          <w:u w:val="single"/>
          <w:lang w:val="pl-PL"/>
        </w:rPr>
        <w:t>Dobrowolna emerytura:</w:t>
      </w:r>
      <w:r>
        <w:rPr>
          <w:sz w:val="23"/>
          <w:szCs w:val="23"/>
          <w:lang w:val="pl-PL"/>
        </w:rPr>
        <w:t xml:space="preserve"> Jeśli wpłacają Państwo środki na uniwersyteckie konto 403(b) lub do planu 457b/SMART stanu Massachusetts, kwoty te będą w dalszym ciągu potrącane, w miarę możliwości i wysokości Państwa zarobków na </w:t>
      </w:r>
      <w:r>
        <w:rPr>
          <w:sz w:val="23"/>
          <w:szCs w:val="23"/>
          <w:lang w:val="pl-PL"/>
        </w:rPr>
        <w:t>Uniwersytecie. Mogą Państwo dostosować swoje wpłaty do planu 403b co dwa tygodnie za pomocą systemu Fidelity NetBenefits (https://nb.fidelity.com/public/nb/umass/</w:t>
      </w:r>
      <w:bookmarkStart w:id="1" w:name="_GoBack"/>
      <w:bookmarkEnd w:id="1"/>
      <w:r>
        <w:rPr>
          <w:sz w:val="23"/>
          <w:szCs w:val="23"/>
          <w:lang w:val="pl-PL"/>
        </w:rPr>
        <w:t xml:space="preserve">transition-home), zaś wpłaty do planu 457b/SMART za pomocą systemu Empower Retirement </w:t>
      </w:r>
      <w:hyperlink r:id="rId11">
        <w:r>
          <w:rPr>
            <w:sz w:val="23"/>
            <w:szCs w:val="23"/>
            <w:lang w:val="pl-PL"/>
          </w:rPr>
          <w:t>(https://www.empower-retirement.com/)</w:t>
        </w:r>
      </w:hyperlink>
      <w:r>
        <w:rPr>
          <w:sz w:val="23"/>
          <w:szCs w:val="23"/>
          <w:lang w:val="pl-PL"/>
        </w:rPr>
        <w:t>, ze skutkiem od następnego miesiąca kalendarzowego.</w:t>
      </w:r>
    </w:p>
    <w:p w:rsidR="002A346F" w:rsidRPr="00A154F0" w:rsidRDefault="00A154F0">
      <w:pPr>
        <w:pStyle w:val="BodyText"/>
        <w:spacing w:before="156" w:after="240" w:line="247" w:lineRule="auto"/>
        <w:ind w:left="174" w:right="413"/>
        <w:rPr>
          <w:lang w:val="pl-PL"/>
        </w:rPr>
      </w:pPr>
      <w:hyperlink r:id="rId12">
        <w:r>
          <w:rPr>
            <w:sz w:val="23"/>
            <w:szCs w:val="23"/>
            <w:lang w:val="pl-PL"/>
          </w:rPr>
          <w:t>P</w:t>
        </w:r>
      </w:hyperlink>
      <w:r>
        <w:rPr>
          <w:sz w:val="23"/>
          <w:szCs w:val="23"/>
          <w:lang w:val="pl-PL"/>
        </w:rPr>
        <w:t>roszę zwrócić uwagę, że jeśli są Państwo na całkowitym urlopie</w:t>
      </w:r>
      <w:r>
        <w:rPr>
          <w:sz w:val="23"/>
          <w:szCs w:val="23"/>
          <w:lang w:val="pl-PL"/>
        </w:rPr>
        <w:t xml:space="preserve"> bezpłatnym i nie zmienią Państwo swoich potrąceń 403(b) i/lub 457b/SMART Plan, środki zostaną wpłacone następny raz przy okazji Państwa następnej wypłaty od Uniwersytetu.</w:t>
      </w:r>
    </w:p>
    <w:p w:rsidR="002A346F" w:rsidRPr="00A154F0" w:rsidRDefault="00A154F0">
      <w:pPr>
        <w:pStyle w:val="BodyText"/>
        <w:spacing w:after="240" w:line="247" w:lineRule="auto"/>
        <w:ind w:left="174" w:right="429"/>
        <w:rPr>
          <w:lang w:val="pl-PL"/>
        </w:rPr>
      </w:pPr>
      <w:r>
        <w:rPr>
          <w:sz w:val="23"/>
          <w:szCs w:val="23"/>
          <w:u w:val="single"/>
          <w:lang w:val="pl-PL"/>
        </w:rPr>
        <w:t>Potrącenia Corestream</w:t>
      </w:r>
      <w:r>
        <w:rPr>
          <w:sz w:val="23"/>
          <w:szCs w:val="23"/>
          <w:lang w:val="pl-PL"/>
        </w:rPr>
        <w:t>: potrącenia Corestream po uwzględnieniu obciążeń podatkowych z</w:t>
      </w:r>
      <w:r>
        <w:rPr>
          <w:sz w:val="23"/>
          <w:szCs w:val="23"/>
          <w:lang w:val="pl-PL"/>
        </w:rPr>
        <w:t xml:space="preserve"> zasady dotyczą składek MetLegal i/lub ubezpieczenia samochodu/domu (MetLife, Liberty Mutual, lub Travelers). Mogą Państwo zdecydować o wypisaniu się z MetLegal w trakcie okresu rejestracyjnego. Proszę kontaktować się w sprawie zmian w polisie ubezpieczeni</w:t>
      </w:r>
      <w:r>
        <w:rPr>
          <w:sz w:val="23"/>
          <w:szCs w:val="23"/>
          <w:lang w:val="pl-PL"/>
        </w:rPr>
        <w:t>a domu lub samochodu bezpośrednio z Państwa ubezpieczycielem.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 xml:space="preserve">Przebywając na całkowitym urlopie bezpłatnym bez wykorzystania wypracowanego urlopu, </w:t>
      </w:r>
      <w:r>
        <w:rPr>
          <w:sz w:val="23"/>
          <w:szCs w:val="23"/>
          <w:lang w:val="pl-PL"/>
        </w:rPr>
        <w:t>muszą Państwo ustalić sposób uiszczania składek bezpośrednio ze swoim ubezpieczycielem, w celu zachowania ube</w:t>
      </w:r>
      <w:r>
        <w:rPr>
          <w:sz w:val="23"/>
          <w:szCs w:val="23"/>
          <w:lang w:val="pl-PL"/>
        </w:rPr>
        <w:t>zpieczenia.</w:t>
      </w:r>
    </w:p>
    <w:p w:rsidR="002A346F" w:rsidRPr="00A154F0" w:rsidRDefault="00A154F0">
      <w:pPr>
        <w:pStyle w:val="BodyText"/>
        <w:numPr>
          <w:ilvl w:val="0"/>
          <w:numId w:val="1"/>
        </w:numPr>
        <w:spacing w:after="240"/>
        <w:ind w:right="141"/>
        <w:rPr>
          <w:lang w:val="pl-PL"/>
        </w:rPr>
      </w:pPr>
      <w:r>
        <w:rPr>
          <w:sz w:val="23"/>
          <w:szCs w:val="23"/>
          <w:u w:val="single"/>
          <w:lang w:val="pl-PL"/>
        </w:rPr>
        <w:t>Jeśli przebywają Państwo na połowicznym urlopie bezpłatnym lub wykorzystują wypracowany urlop podczas całkowitego urlopu tymczasowego,</w:t>
      </w:r>
      <w:r>
        <w:rPr>
          <w:sz w:val="23"/>
          <w:szCs w:val="23"/>
          <w:lang w:val="pl-PL"/>
        </w:rPr>
        <w:t xml:space="preserve"> potrącenia składek Corestream będą mieć zastosowanie w takim zakresie, w jakim pozwalają na to Państwa zarobk</w:t>
      </w:r>
      <w:r>
        <w:rPr>
          <w:sz w:val="23"/>
          <w:szCs w:val="23"/>
          <w:lang w:val="pl-PL"/>
        </w:rPr>
        <w:t xml:space="preserve">i uniwersyteckie. </w:t>
      </w:r>
      <w:r>
        <w:rPr>
          <w:sz w:val="23"/>
          <w:szCs w:val="23"/>
          <w:lang w:val="pl-PL"/>
        </w:rPr>
        <w:t>Do Państwa odpowiedzialności należy monitorowanie codwutygodniowych wypłat w celu zapewnienia, że potrącone zostały odpowiednie kwoty oraz płacenie ubezpieczycielom składek, które nie zostały potrącone z wypłaty.</w:t>
      </w:r>
    </w:p>
    <w:p w:rsidR="002A346F" w:rsidRPr="00A154F0" w:rsidRDefault="00A154F0">
      <w:pPr>
        <w:pStyle w:val="BodyText"/>
        <w:spacing w:after="240" w:line="247" w:lineRule="auto"/>
        <w:ind w:left="174" w:right="309"/>
        <w:rPr>
          <w:lang w:val="pl-PL"/>
        </w:rPr>
      </w:pPr>
      <w:r>
        <w:rPr>
          <w:sz w:val="23"/>
          <w:szCs w:val="23"/>
          <w:u w:val="single"/>
          <w:lang w:val="pl-PL"/>
        </w:rPr>
        <w:lastRenderedPageBreak/>
        <w:t>Zaliczki na podatki docho</w:t>
      </w:r>
      <w:r>
        <w:rPr>
          <w:sz w:val="23"/>
          <w:szCs w:val="23"/>
          <w:u w:val="single"/>
          <w:lang w:val="pl-PL"/>
        </w:rPr>
        <w:t>dowe stanu Massachusetts i federalne</w:t>
      </w:r>
      <w:r>
        <w:rPr>
          <w:sz w:val="23"/>
          <w:szCs w:val="23"/>
          <w:lang w:val="pl-PL"/>
        </w:rPr>
        <w:t xml:space="preserve"> są dostosowywane do zmian w </w:t>
      </w:r>
      <w:r>
        <w:rPr>
          <w:sz w:val="23"/>
          <w:szCs w:val="23"/>
          <w:lang w:val="pl-PL"/>
        </w:rPr>
        <w:t>zarobkach. Proszę zwrócić uwagę, że jeśli wybrali Państwo stałą kwotę w dolarach (lub dodatkową stałą kwotę w dolarach) do odliczenia przy wypłacie, mogą Państwo chcieć ponownie rozważyć te d</w:t>
      </w:r>
      <w:r>
        <w:rPr>
          <w:sz w:val="23"/>
          <w:szCs w:val="23"/>
          <w:lang w:val="pl-PL"/>
        </w:rPr>
        <w:t>odatkowe zaliczki; mogą Państwo zmienić preferencje dotyczące zaliczek w systemie HR Direct.</w:t>
      </w:r>
    </w:p>
    <w:p w:rsidR="002A346F" w:rsidRDefault="00A154F0">
      <w:pPr>
        <w:pStyle w:val="BodyText"/>
        <w:spacing w:after="240" w:line="247" w:lineRule="auto"/>
        <w:ind w:left="174" w:right="559"/>
      </w:pPr>
      <w:r>
        <w:rPr>
          <w:sz w:val="23"/>
          <w:szCs w:val="23"/>
          <w:u w:val="single"/>
          <w:lang w:val="pl-PL"/>
        </w:rPr>
        <w:t>Program wsparcia dla pracowników naukowych i administracyjnych UMass Amherst (UMass Amherst Faculty Staff Assistance Program, FSAP) oraz programy wsparcia pracowni</w:t>
      </w:r>
      <w:r>
        <w:rPr>
          <w:sz w:val="23"/>
          <w:szCs w:val="23"/>
          <w:u w:val="single"/>
          <w:lang w:val="pl-PL"/>
        </w:rPr>
        <w:t>ków Commonwealth Mass4You</w:t>
      </w:r>
      <w:r>
        <w:rPr>
          <w:sz w:val="23"/>
          <w:szCs w:val="23"/>
          <w:lang w:val="pl-PL"/>
        </w:rPr>
        <w:t xml:space="preserve"> są dostępne w celu zapewnienia wsparcia pracownikom administracyjnym i naukowym. </w:t>
      </w:r>
      <w:r>
        <w:rPr>
          <w:sz w:val="23"/>
          <w:szCs w:val="23"/>
          <w:lang w:val="pl-PL"/>
        </w:rPr>
        <w:t xml:space="preserve">Więcej informacji </w:t>
      </w:r>
      <w:r>
        <w:rPr>
          <w:sz w:val="23"/>
          <w:szCs w:val="23"/>
          <w:lang w:val="pl-PL"/>
        </w:rPr>
        <w:t xml:space="preserve">na temat usług wsparcia zdrowia psychicznego: </w:t>
      </w:r>
    </w:p>
    <w:p w:rsidR="002A346F" w:rsidRPr="00A154F0" w:rsidRDefault="00A154F0">
      <w:pPr>
        <w:pStyle w:val="BodyText"/>
        <w:numPr>
          <w:ilvl w:val="0"/>
          <w:numId w:val="2"/>
        </w:numPr>
        <w:spacing w:after="240" w:line="247" w:lineRule="auto"/>
        <w:ind w:right="559"/>
        <w:rPr>
          <w:lang w:val="pt-BR"/>
        </w:rPr>
      </w:pPr>
      <w:r>
        <w:rPr>
          <w:sz w:val="23"/>
          <w:szCs w:val="23"/>
          <w:lang w:val="pl-PL"/>
        </w:rPr>
        <w:t xml:space="preserve">UMass FSAP: </w:t>
      </w:r>
      <w:r>
        <w:rPr>
          <w:sz w:val="23"/>
          <w:szCs w:val="23"/>
          <w:lang w:val="pl-PL"/>
        </w:rPr>
        <w:t xml:space="preserve">numer telefonu </w:t>
      </w:r>
      <w:r>
        <w:rPr>
          <w:sz w:val="23"/>
          <w:szCs w:val="23"/>
          <w:lang w:val="pl-PL"/>
        </w:rPr>
        <w:t xml:space="preserve">413.545.0350 / </w:t>
      </w:r>
      <w:hyperlink r:id="rId13">
        <w:r>
          <w:rPr>
            <w:rStyle w:val="czeinternetowe"/>
            <w:lang w:val="pl-PL"/>
          </w:rPr>
          <w:t>www.umass.edu/humres/faculty-and-staff-assistance-program</w:t>
        </w:r>
      </w:hyperlink>
    </w:p>
    <w:p w:rsidR="002A346F" w:rsidRPr="00A154F0" w:rsidRDefault="00A154F0">
      <w:pPr>
        <w:pStyle w:val="BodyText"/>
        <w:numPr>
          <w:ilvl w:val="0"/>
          <w:numId w:val="2"/>
        </w:numPr>
        <w:spacing w:after="240" w:line="247" w:lineRule="auto"/>
        <w:ind w:right="559"/>
        <w:rPr>
          <w:lang w:val="pt-BR"/>
        </w:rPr>
      </w:pPr>
      <w:r>
        <w:rPr>
          <w:lang w:val="pl-PL"/>
        </w:rPr>
        <w:t xml:space="preserve">Commonwealth Mass4You: 844.263.1982 / </w:t>
      </w:r>
      <w:hyperlink r:id="rId14">
        <w:r>
          <w:rPr>
            <w:rStyle w:val="czeinternetowe"/>
            <w:lang w:val="pl-PL"/>
          </w:rPr>
          <w:t>liveandworkwell.com</w:t>
        </w:r>
      </w:hyperlink>
      <w:r>
        <w:rPr>
          <w:lang w:val="pl-PL"/>
        </w:rPr>
        <w:t>. Linia pomocy w leczeniu z uzależnień: 855.780.</w:t>
      </w:r>
      <w:r>
        <w:rPr>
          <w:lang w:val="pl-PL"/>
        </w:rPr>
        <w:t>5955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u w:val="single"/>
          <w:lang w:val="pl-PL"/>
        </w:rPr>
        <w:t xml:space="preserve">Zasiłek </w:t>
      </w:r>
      <w:r>
        <w:rPr>
          <w:sz w:val="23"/>
          <w:szCs w:val="23"/>
          <w:u w:val="single"/>
          <w:lang w:val="pl-PL"/>
        </w:rPr>
        <w:t>dla osób bezrobotnych:</w:t>
      </w:r>
      <w:r>
        <w:rPr>
          <w:sz w:val="23"/>
          <w:szCs w:val="23"/>
          <w:lang w:val="pl-PL"/>
        </w:rPr>
        <w:t xml:space="preserve"> Departament Pomocy dla Bezrobotnych stanu Massachusetts (Department of Unemployment Assistance, DUA) może pomóc Państwu w ustaleniu, czy są Państwo uprawnieni do zasiłku dla bezrobotnych na </w:t>
      </w:r>
      <w:r>
        <w:rPr>
          <w:sz w:val="23"/>
          <w:szCs w:val="23"/>
          <w:lang w:val="pl-PL"/>
        </w:rPr>
        <w:t>skutek</w:t>
      </w:r>
      <w:r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całkowitego </w:t>
      </w:r>
      <w:r>
        <w:rPr>
          <w:sz w:val="23"/>
          <w:szCs w:val="23"/>
          <w:lang w:val="pl-PL"/>
        </w:rPr>
        <w:t>lub częścio</w:t>
      </w:r>
      <w:r>
        <w:rPr>
          <w:sz w:val="23"/>
          <w:szCs w:val="23"/>
          <w:lang w:val="pl-PL"/>
        </w:rPr>
        <w:t>wego przymusowego urlopu bezpłatnego (zazwyczaj wypłacany jest częściowy zasiłek w przypadku zmniejszenia przychodu o co najmniej 33%). Proszę zwrócić uwagę, że w obu przypadkach muszą Państwo złożyć wniosek o zasiłek poprzez system DUA.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lang w:val="pl-PL"/>
        </w:rPr>
        <w:t>Po rozpoczęciu Pań</w:t>
      </w:r>
      <w:r>
        <w:rPr>
          <w:sz w:val="23"/>
          <w:szCs w:val="23"/>
          <w:lang w:val="pl-PL"/>
        </w:rPr>
        <w:t>stwa urlopu bezpłatnego, mogą Państwo złożyć wniosek do DUA; w niedzielę w drugim tygodniu urlopu mogą się Państwo zgłosić po zasiłek dla bezrobotnych. Uwaga: jeśli otrzymują Państwo przychód (za pracę na część etatu lub przez wypracowany urlop), muszą Pań</w:t>
      </w:r>
      <w:r>
        <w:rPr>
          <w:sz w:val="23"/>
          <w:szCs w:val="23"/>
          <w:lang w:val="pl-PL"/>
        </w:rPr>
        <w:t>stwo zgłosić to do DUA w celu zapewnienia, że świadczenia dla bezrobotnych zostaną poprawnie wyliczone.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lang w:val="pl-PL"/>
        </w:rPr>
        <w:t xml:space="preserve">DUA to agencja odpowiedzialna za infolinię dotyczącą świadczeń dla osób bezrobotnych (877-626-6800), oraz informację on-line </w:t>
      </w:r>
      <w:hyperlink r:id="rId15">
        <w:r>
          <w:rPr>
            <w:sz w:val="23"/>
            <w:szCs w:val="23"/>
            <w:lang w:val="pl-PL"/>
          </w:rPr>
          <w:t>(www.mass.gov/orgs/department-of-unemployment-assistance).</w:t>
        </w:r>
      </w:hyperlink>
      <w:r>
        <w:rPr>
          <w:sz w:val="23"/>
          <w:szCs w:val="23"/>
          <w:lang w:val="pl-PL"/>
        </w:rPr>
        <w:t xml:space="preserve"> Załączamy </w:t>
      </w:r>
      <w:r>
        <w:rPr>
          <w:sz w:val="23"/>
          <w:szCs w:val="23"/>
          <w:lang w:val="pl-PL"/>
        </w:rPr>
        <w:t xml:space="preserve">instrukcję składania </w:t>
      </w:r>
      <w:r>
        <w:rPr>
          <w:sz w:val="23"/>
          <w:szCs w:val="23"/>
          <w:lang w:val="pl-PL"/>
        </w:rPr>
        <w:t xml:space="preserve">wniosku o zasiłek dla bezrobotnych; ta sama </w:t>
      </w:r>
      <w:r>
        <w:rPr>
          <w:sz w:val="23"/>
          <w:szCs w:val="23"/>
          <w:lang w:val="pl-PL"/>
        </w:rPr>
        <w:t xml:space="preserve">instrukcja jest dostępna on-line w wielu językach </w:t>
      </w:r>
      <w:r>
        <w:rPr>
          <w:sz w:val="23"/>
          <w:szCs w:val="23"/>
          <w:lang w:val="pl-PL"/>
        </w:rPr>
        <w:t>(</w:t>
      </w:r>
      <w:hyperlink r:id="rId16">
        <w:r>
          <w:rPr>
            <w:rStyle w:val="czeinternetowe"/>
            <w:lang w:val="pl-PL"/>
          </w:rPr>
          <w:t>https://www.mass.gov/dua-multilingual-services</w:t>
        </w:r>
      </w:hyperlink>
      <w:r>
        <w:rPr>
          <w:sz w:val="23"/>
          <w:szCs w:val="23"/>
          <w:lang w:val="pl-PL"/>
        </w:rPr>
        <w:t>).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u w:val="single"/>
          <w:lang w:val="pl-PL"/>
        </w:rPr>
        <w:t>Urlopy wynikające z ustaw</w:t>
      </w:r>
      <w:r>
        <w:rPr>
          <w:sz w:val="23"/>
          <w:szCs w:val="23"/>
          <w:u w:val="single"/>
          <w:lang w:val="pl-PL"/>
        </w:rPr>
        <w:t xml:space="preserve"> Families First Coronavirus Response Act (FFCRA) oraz Family Medical Leave Act (FMLA)</w:t>
      </w:r>
      <w:r>
        <w:rPr>
          <w:sz w:val="23"/>
          <w:szCs w:val="23"/>
          <w:lang w:val="pl-PL"/>
        </w:rPr>
        <w:t xml:space="preserve">: FFCRA </w:t>
      </w:r>
      <w:r>
        <w:rPr>
          <w:sz w:val="23"/>
          <w:szCs w:val="23"/>
          <w:lang w:val="pl-PL"/>
        </w:rPr>
        <w:t xml:space="preserve">zapewnia płatny urlop z zachowaniem przychodu i pracy/świadczeń w przypadku, gdy uprawniony pracownik jest na zatwierdzonym urlopie ze względu na kwarantannę związaną z </w:t>
      </w:r>
      <w:r>
        <w:rPr>
          <w:sz w:val="23"/>
          <w:szCs w:val="23"/>
          <w:lang w:val="pl-PL"/>
        </w:rPr>
        <w:t>COVID-19 i/lub wymaga urlopu ze względu na brak dostępności usług opieki nad dziećmi bą</w:t>
      </w:r>
      <w:r>
        <w:rPr>
          <w:sz w:val="23"/>
          <w:szCs w:val="23"/>
          <w:lang w:val="pl-PL"/>
        </w:rPr>
        <w:t>dź szkół, spowodowany koronawirusem. Urlop i wypłaty FFCRA (jak również urlop FMLA) nie mają zastosowania do dni, w które otrzymują Państwo wypłatę.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u w:val="single"/>
          <w:lang w:val="pl-PL"/>
        </w:rPr>
        <w:t xml:space="preserve">Wnioski o ruchomy czas pracy </w:t>
      </w:r>
      <w:r>
        <w:rPr>
          <w:sz w:val="23"/>
          <w:szCs w:val="23"/>
          <w:lang w:val="pl-PL"/>
        </w:rPr>
        <w:t xml:space="preserve">nie mają zastosowania do </w:t>
      </w:r>
      <w:r>
        <w:rPr>
          <w:sz w:val="23"/>
          <w:szCs w:val="23"/>
          <w:lang w:val="pl-PL"/>
        </w:rPr>
        <w:t>okresu przymusowego urlopu bezpłatnego.</w:t>
      </w:r>
    </w:p>
    <w:p w:rsidR="002A346F" w:rsidRPr="00A154F0" w:rsidRDefault="00A154F0">
      <w:pPr>
        <w:pStyle w:val="BodyText"/>
        <w:spacing w:after="240" w:line="247" w:lineRule="auto"/>
        <w:ind w:left="174" w:right="559"/>
        <w:rPr>
          <w:lang w:val="pl-PL"/>
        </w:rPr>
      </w:pPr>
      <w:r>
        <w:rPr>
          <w:sz w:val="23"/>
          <w:szCs w:val="23"/>
          <w:u w:val="single"/>
          <w:lang w:val="pl-PL"/>
        </w:rPr>
        <w:t>Proszę zawsze</w:t>
      </w:r>
      <w:r>
        <w:rPr>
          <w:sz w:val="23"/>
          <w:szCs w:val="23"/>
          <w:u w:val="single"/>
          <w:lang w:val="pl-PL"/>
        </w:rPr>
        <w:t xml:space="preserve"> uważnie sprawdzać swój odcinek wynagrodzenia –</w:t>
      </w:r>
      <w:r>
        <w:rPr>
          <w:sz w:val="23"/>
          <w:szCs w:val="23"/>
          <w:lang w:val="pl-PL"/>
        </w:rPr>
        <w:t xml:space="preserve"> dokument ten ma na celu ogólne omówienie świadczeń i wpływu wywołanego zmianami w ekwiwalencie pełnego pełnego czasu pracy na te świadczenia. Mogą mieć Państwo inne potrącenia od swojej wypłaty (np. mogą Pańs</w:t>
      </w:r>
      <w:r>
        <w:rPr>
          <w:sz w:val="23"/>
          <w:szCs w:val="23"/>
          <w:lang w:val="pl-PL"/>
        </w:rPr>
        <w:t>two być zapisani na  krótko- lub długo-terminowy plan ubezpieczeń na wypadek niezdolności do pracy, oferowany przez Państwa związek zawodowy i nie zarządzany przez Uniwersytet). Mogą Państwo chcieć przejrzeć i rozważyć inne potrącenia, nie omówione w tym d</w:t>
      </w:r>
      <w:r>
        <w:rPr>
          <w:sz w:val="23"/>
          <w:szCs w:val="23"/>
          <w:lang w:val="pl-PL"/>
        </w:rPr>
        <w:t>okumencie.</w:t>
      </w:r>
    </w:p>
    <w:p w:rsidR="002A346F" w:rsidRPr="00A154F0" w:rsidRDefault="002A346F">
      <w:pPr>
        <w:pStyle w:val="BodyText"/>
        <w:spacing w:after="240" w:line="247" w:lineRule="auto"/>
        <w:ind w:left="174" w:right="389"/>
        <w:rPr>
          <w:lang w:val="pl-PL"/>
        </w:rPr>
      </w:pPr>
    </w:p>
    <w:sectPr w:rsidR="002A346F" w:rsidRPr="00A154F0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77" w:right="720" w:bottom="806" w:left="90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4F0">
      <w:r>
        <w:separator/>
      </w:r>
    </w:p>
  </w:endnote>
  <w:endnote w:type="continuationSeparator" w:id="0">
    <w:p w:rsidR="00000000" w:rsidRDefault="00A1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variable"/>
  </w:font>
  <w:font w:name="Frutiger-Cn">
    <w:altName w:val="Calibri"/>
    <w:charset w:val="01"/>
    <w:family w:val="roman"/>
    <w:pitch w:val="variable"/>
  </w:font>
  <w:font w:name="Minion Pro Subh">
    <w:altName w:val="Cambria Math"/>
    <w:charset w:val="01"/>
    <w:family w:val="roman"/>
    <w:pitch w:val="variable"/>
  </w:font>
  <w:font w:name="Frutiger-Roman">
    <w:altName w:val="Calibr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2A3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A154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76DCEE2">
              <wp:simplePos x="0" y="0"/>
              <wp:positionH relativeFrom="column">
                <wp:posOffset>-285115</wp:posOffset>
              </wp:positionH>
              <wp:positionV relativeFrom="paragraph">
                <wp:posOffset>126365</wp:posOffset>
              </wp:positionV>
              <wp:extent cx="7046595" cy="407670"/>
              <wp:effectExtent l="0" t="0" r="3810" b="0"/>
              <wp:wrapNone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20" cy="407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346F" w:rsidRDefault="00A154F0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0"/>
                            <w:ind w:left="-180" w:right="-246"/>
                            <w:jc w:val="center"/>
                            <w:rPr>
                              <w:rFonts w:ascii="Frutiger-Roman" w:hAnsi="Frutiger-Roman" w:cs="Frutiger-Roman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4"/>
                              <w:szCs w:val="14"/>
                            </w:rPr>
                            <w:t xml:space="preserve">University of Massachusetts • </w:t>
                          </w:r>
                          <w:r>
                            <w:rPr>
                              <w:rFonts w:ascii="Frutiger-Roman" w:hAnsi="Frutiger-Roman" w:cs="Frutiger-Roman"/>
                              <w:spacing w:val="0"/>
                              <w:sz w:val="14"/>
                              <w:szCs w:val="14"/>
                            </w:rPr>
                            <w:t xml:space="preserve">181 President's Drive, 330 Whitmore Administration Building • Amherst, MA 01003-9313 • </w:t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4"/>
                              <w:szCs w:val="14"/>
                            </w:rPr>
                            <w:t xml:space="preserve">413.545.1396 • </w:t>
                          </w:r>
                          <w:r>
                            <w:rPr>
                              <w:rFonts w:ascii="Frutiger-Roman" w:hAnsi="Frutiger-Roman" w:cs="Frutiger-Roman"/>
                              <w:spacing w:val="3"/>
                              <w:sz w:val="14"/>
                              <w:szCs w:val="14"/>
                            </w:rPr>
                            <w:t>www.umass.edu/humres</w:t>
                          </w:r>
                        </w:p>
                        <w:p w:rsidR="002A346F" w:rsidRDefault="00A154F0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0"/>
                            <w:ind w:left="-180" w:right="-246"/>
                            <w:jc w:val="center"/>
                            <w:rPr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 Subh" w:hAnsi="Minion Pro Subh" w:cs="Times-Roman"/>
                              <w:color w:val="782F40"/>
                              <w:spacing w:val="0"/>
                              <w:sz w:val="14"/>
                              <w:szCs w:val="14"/>
                            </w:rPr>
                            <w:t>The University of Massachusetts is an Affirmative Action and Equal Opportunity Employer</w:t>
                          </w:r>
                        </w:p>
                        <w:p w:rsidR="002A346F" w:rsidRDefault="00A154F0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0"/>
                            <w:ind w:left="-180" w:right="-246"/>
                            <w:jc w:val="right"/>
                            <w:rPr>
                              <w:color w:val="000000" w:themeColor="text1"/>
                              <w:spacing w:val="3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000000" w:themeColor="text1"/>
                              <w:spacing w:val="3"/>
                              <w:sz w:val="10"/>
                              <w:szCs w:val="10"/>
                            </w:rPr>
                            <w:t>08.21.20</w:t>
                          </w:r>
                          <w:r>
                            <w:rPr>
                              <w:color w:val="FFFFFF" w:themeColor="background1"/>
                              <w:spacing w:val="3"/>
                              <w:sz w:val="10"/>
                              <w:szCs w:val="10"/>
                            </w:rPr>
                            <w:t>. ….</w:t>
                          </w:r>
                          <w:r>
                            <w:rPr>
                              <w:color w:val="000000" w:themeColor="text1"/>
                              <w:spacing w:val="3"/>
                              <w:sz w:val="10"/>
                              <w:szCs w:val="10"/>
                            </w:rPr>
                            <w:t xml:space="preserve">  </w:t>
                          </w:r>
                        </w:p>
                        <w:p w:rsidR="002A346F" w:rsidRDefault="002A346F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f" style="position:absolute;margin-left:-22.45pt;margin-top:9.95pt;width:554.75pt;height:32pt" wp14:anchorId="176DCEE2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AddressContactInfo"/>
                      <w:tabs>
                        <w:tab w:val="clear" w:pos="720"/>
                        <w:tab w:val="left" w:pos="9024" w:leader="none"/>
                      </w:tabs>
                      <w:spacing w:before="0" w:after="0"/>
                      <w:ind w:left="-180" w:right="-246" w:hanging="0"/>
                      <w:jc w:val="center"/>
                      <w:rPr>
                        <w:rFonts w:ascii="Frutiger-Roman" w:hAnsi="Frutiger-Roman" w:cs="Frutiger-Roman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cs="Frutiger-Roman" w:ascii="Frutiger-Roman" w:hAnsi="Frutiger-Roman"/>
                        <w:spacing w:val="3"/>
                        <w:sz w:val="14"/>
                        <w:szCs w:val="14"/>
                      </w:rPr>
                      <w:t xml:space="preserve">University of Massachusetts • </w:t>
                    </w:r>
                    <w:r>
                      <w:rPr>
                        <w:rFonts w:cs="Frutiger-Roman" w:ascii="Frutiger-Roman" w:hAnsi="Frutiger-Roman"/>
                        <w:spacing w:val="0"/>
                        <w:sz w:val="14"/>
                        <w:szCs w:val="14"/>
                      </w:rPr>
                      <w:t xml:space="preserve">181 President's Drive, 330 Whitmore Administration Building • Amherst, MA 01003-9313 • </w:t>
                    </w:r>
                    <w:r>
                      <w:rPr>
                        <w:rFonts w:cs="Frutiger-Roman" w:ascii="Frutiger-Roman" w:hAnsi="Frutiger-Roman"/>
                        <w:spacing w:val="3"/>
                        <w:sz w:val="14"/>
                        <w:szCs w:val="14"/>
                      </w:rPr>
                      <w:t>413.545.1396 • www.umass.edu/humres</w:t>
                    </w:r>
                  </w:p>
                  <w:p>
                    <w:pPr>
                      <w:pStyle w:val="AddressContactInfo"/>
                      <w:tabs>
                        <w:tab w:val="clear" w:pos="720"/>
                        <w:tab w:val="left" w:pos="9024" w:leader="none"/>
                      </w:tabs>
                      <w:spacing w:before="0" w:after="0"/>
                      <w:ind w:left="-180" w:right="-246" w:hanging="0"/>
                      <w:jc w:val="center"/>
                      <w:rPr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cs="Times-Roman" w:ascii="Minion Pro Subh" w:hAnsi="Minion Pro Subh"/>
                        <w:color w:val="782F40"/>
                        <w:spacing w:val="0"/>
                        <w:sz w:val="14"/>
                        <w:szCs w:val="14"/>
                      </w:rPr>
                      <w:t>The University of Massachusetts is an Affirmative Action and Equal Opportunity Employer</w:t>
                    </w:r>
                  </w:p>
                  <w:p>
                    <w:pPr>
                      <w:pStyle w:val="AddressContactInfo"/>
                      <w:tabs>
                        <w:tab w:val="clear" w:pos="720"/>
                        <w:tab w:val="left" w:pos="9024" w:leader="none"/>
                      </w:tabs>
                      <w:spacing w:before="0" w:after="0"/>
                      <w:ind w:left="-180" w:right="-246" w:hanging="0"/>
                      <w:jc w:val="right"/>
                      <w:rPr>
                        <w:color w:val="000000" w:themeColor="text1"/>
                        <w:spacing w:val="3"/>
                        <w:sz w:val="10"/>
                        <w:szCs w:val="10"/>
                      </w:rPr>
                    </w:pPr>
                    <w:r>
                      <w:rPr>
                        <w:color w:val="000000" w:themeColor="text1"/>
                        <w:spacing w:val="3"/>
                        <w:sz w:val="10"/>
                        <w:szCs w:val="10"/>
                      </w:rPr>
                      <w:t>08.21.20</w:t>
                    </w:r>
                    <w:r>
                      <w:rPr>
                        <w:color w:val="FFFFFF" w:themeColor="background1"/>
                        <w:spacing w:val="3"/>
                        <w:sz w:val="10"/>
                        <w:szCs w:val="10"/>
                      </w:rPr>
                      <w:t>. ….</w:t>
                    </w:r>
                    <w:r>
                      <w:rPr>
                        <w:color w:val="000000" w:themeColor="text1"/>
                        <w:spacing w:val="3"/>
                        <w:sz w:val="10"/>
                        <w:szCs w:val="10"/>
                      </w:rPr>
                      <w:t xml:space="preserve">  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4F0">
      <w:r>
        <w:separator/>
      </w:r>
    </w:p>
  </w:footnote>
  <w:footnote w:type="continuationSeparator" w:id="0">
    <w:p w:rsidR="00000000" w:rsidRDefault="00A1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2A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A154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B3BECF9">
              <wp:simplePos x="0" y="0"/>
              <wp:positionH relativeFrom="column">
                <wp:posOffset>-292100</wp:posOffset>
              </wp:positionH>
              <wp:positionV relativeFrom="paragraph">
                <wp:posOffset>-127000</wp:posOffset>
              </wp:positionV>
              <wp:extent cx="6941185" cy="1289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440" cy="12816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782f40" stroked="f" style="position:absolute;margin-left:-23pt;margin-top:-10pt;width:546.45pt;height:10.05pt" wp14:anchorId="5B3BECF9">
              <w10:wrap type="none"/>
              <v:fill o:detectmouseclick="t" type="solid" color2="#87d0bf"/>
              <v:stroke color="#3465a4" weight="12600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598B7F5">
              <wp:simplePos x="0" y="0"/>
              <wp:positionH relativeFrom="column">
                <wp:posOffset>4066540</wp:posOffset>
              </wp:positionH>
              <wp:positionV relativeFrom="paragraph">
                <wp:posOffset>47625</wp:posOffset>
              </wp:positionV>
              <wp:extent cx="2775585" cy="66738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880" cy="66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346F" w:rsidRDefault="002A346F">
                          <w:pPr>
                            <w:pStyle w:val="NoParagraphStyle"/>
                            <w:spacing w:line="240" w:lineRule="atLeast"/>
                            <w:rPr>
                              <w:rFonts w:ascii="Minion Pro Subh" w:hAnsi="Minion Pro Subh"/>
                              <w:color w:val="782F40"/>
                              <w:sz w:val="26"/>
                              <w:szCs w:val="26"/>
                            </w:rPr>
                          </w:pPr>
                        </w:p>
                        <w:p w:rsidR="002A346F" w:rsidRDefault="00A154F0">
                          <w:pPr>
                            <w:pStyle w:val="NoParagraphStyle"/>
                            <w:spacing w:line="240" w:lineRule="atLeast"/>
                          </w:pPr>
                          <w:proofErr w:type="spellStart"/>
                          <w:r>
                            <w:rPr>
                              <w:rFonts w:ascii="Minion Pro Subh" w:hAnsi="Minion Pro Subh"/>
                              <w:color w:val="782F40"/>
                              <w:sz w:val="26"/>
                              <w:szCs w:val="26"/>
                            </w:rPr>
                            <w:t>Dział</w:t>
                          </w:r>
                          <w:proofErr w:type="spellEnd"/>
                          <w:r>
                            <w:rPr>
                              <w:rFonts w:ascii="Minion Pro Subh" w:hAnsi="Minion Pro Subh"/>
                              <w:color w:val="782F40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Subh" w:hAnsi="Minion Pro Subh"/>
                              <w:color w:val="782F40"/>
                              <w:sz w:val="26"/>
                              <w:szCs w:val="26"/>
                            </w:rPr>
                            <w:t>kadr</w:t>
                          </w:r>
                          <w:proofErr w:type="spellEnd"/>
                          <w:r>
                            <w:rPr>
                              <w:rFonts w:ascii="Minion Pro Subh" w:hAnsi="Minion Pro Subh"/>
                              <w:color w:val="782F40"/>
                              <w:sz w:val="26"/>
                              <w:szCs w:val="26"/>
                            </w:rPr>
                            <w:br/>
                          </w:r>
                        </w:p>
                        <w:p w:rsidR="002A346F" w:rsidRDefault="002A346F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fillcolor="white" stroked="f" style="position:absolute;margin-left:320.2pt;margin-top:3.75pt;width:218.45pt;height:52.45pt" wp14:anchorId="6598B7F5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NoParagraphStyle"/>
                      <w:spacing w:lineRule="atLeast" w:line="240"/>
                      <w:rPr>
                        <w:rFonts w:ascii="Minion Pro Subh" w:hAnsi="Minion Pro Subh"/>
                        <w:color w:val="782F40"/>
                        <w:sz w:val="26"/>
                        <w:szCs w:val="26"/>
                      </w:rPr>
                    </w:pPr>
                    <w:r>
                      <w:rPr>
                        <w:rFonts w:ascii="Minion Pro Subh" w:hAnsi="Minion Pro Subh"/>
                        <w:color w:val="782F40"/>
                        <w:sz w:val="26"/>
                        <w:szCs w:val="26"/>
                      </w:rPr>
                    </w:r>
                  </w:p>
                  <w:p>
                    <w:pPr>
                      <w:pStyle w:val="NoParagraphStyle"/>
                      <w:spacing w:lineRule="atLeast" w:line="240"/>
                      <w:rPr/>
                    </w:pPr>
                    <w:r>
                      <w:rPr>
                        <w:rFonts w:cs="Times-Roman" w:ascii="Minion Pro Subh" w:hAnsi="Minion Pro Subh"/>
                        <w:color w:val="782F40"/>
                        <w:sz w:val="26"/>
                        <w:szCs w:val="26"/>
                      </w:rPr>
                      <w:t>Dział kadr</w:t>
                    </w:r>
                    <w:r>
                      <w:rPr>
                        <w:rFonts w:ascii="Minion Pro Subh" w:hAnsi="Minion Pro Subh"/>
                        <w:color w:val="782F40"/>
                        <w:sz w:val="26"/>
                        <w:szCs w:val="26"/>
                      </w:rPr>
                      <w:br/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4940F02">
              <wp:simplePos x="0" y="0"/>
              <wp:positionH relativeFrom="column">
                <wp:posOffset>4040505</wp:posOffset>
              </wp:positionH>
              <wp:positionV relativeFrom="paragraph">
                <wp:posOffset>150495</wp:posOffset>
              </wp:positionV>
              <wp:extent cx="1905" cy="1270"/>
              <wp:effectExtent l="0" t="0" r="12700" b="10160"/>
              <wp:wrapNone/>
              <wp:docPr id="4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18.15pt,11.85pt" to="318.2pt,11.85pt" ID="Straight Connector 9" stroked="t" style="position:absolute;flip:x" wp14:anchorId="64940F02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w:drawing>
        <wp:inline distT="0" distB="0" distL="0" distR="0">
          <wp:extent cx="1695450" cy="73025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0A5"/>
    <w:multiLevelType w:val="multilevel"/>
    <w:tmpl w:val="25F69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997517"/>
    <w:multiLevelType w:val="multilevel"/>
    <w:tmpl w:val="AD62230A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5824C5"/>
    <w:multiLevelType w:val="multilevel"/>
    <w:tmpl w:val="B87264EC"/>
    <w:lvl w:ilvl="0">
      <w:start w:val="1"/>
      <w:numFmt w:val="bullet"/>
      <w:lvlText w:val=""/>
      <w:lvlJc w:val="left"/>
      <w:pPr>
        <w:ind w:left="8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6F"/>
    <w:rsid w:val="002A346F"/>
    <w:rsid w:val="00A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7E82F-8694-4500-B804-5E65882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0C90"/>
    <w:pPr>
      <w:keepNext/>
      <w:outlineLvl w:val="1"/>
    </w:pPr>
    <w:rPr>
      <w:rFonts w:ascii="Times New Roman" w:eastAsia="Times New Roman" w:hAnsi="Times New Roman" w:cs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3A0C90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A0C90"/>
    <w:pPr>
      <w:keepNext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56FA"/>
  </w:style>
  <w:style w:type="character" w:customStyle="1" w:styleId="FooterChar">
    <w:name w:val="Footer Char"/>
    <w:basedOn w:val="DefaultParagraphFont"/>
    <w:link w:val="Footer"/>
    <w:uiPriority w:val="99"/>
    <w:qFormat/>
    <w:rsid w:val="002B56F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0E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DB705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611BC6"/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A0C90"/>
  </w:style>
  <w:style w:type="character" w:customStyle="1" w:styleId="Heading2Char">
    <w:name w:val="Heading 2 Char"/>
    <w:basedOn w:val="DefaultParagraphFont"/>
    <w:link w:val="Heading2"/>
    <w:qFormat/>
    <w:rsid w:val="003A0C90"/>
    <w:rPr>
      <w:rFonts w:ascii="Times New Roman" w:eastAsia="Times New Roman" w:hAnsi="Times New Roman" w:cs="Times New Roman"/>
      <w:i/>
      <w:iCs/>
    </w:rPr>
  </w:style>
  <w:style w:type="character" w:customStyle="1" w:styleId="Heading3Char">
    <w:name w:val="Heading 3 Char"/>
    <w:basedOn w:val="DefaultParagraphFont"/>
    <w:link w:val="Heading3"/>
    <w:qFormat/>
    <w:rsid w:val="003A0C9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qFormat/>
    <w:rsid w:val="003A0C90"/>
    <w:rPr>
      <w:rFonts w:ascii="Times New Roman" w:eastAsia="Times New Roman" w:hAnsi="Times New Roman" w:cs="Times New Roman"/>
      <w:b/>
      <w:bCs/>
    </w:rPr>
  </w:style>
  <w:style w:type="character" w:styleId="PageNumber">
    <w:name w:val="page number"/>
    <w:basedOn w:val="DefaultParagraphFont"/>
    <w:qFormat/>
    <w:rsid w:val="003A0C90"/>
  </w:style>
  <w:style w:type="character" w:styleId="Strong">
    <w:name w:val="Strong"/>
    <w:basedOn w:val="DefaultParagraphFont"/>
    <w:uiPriority w:val="22"/>
    <w:qFormat/>
    <w:rsid w:val="006F39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A12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3696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3696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C2B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inumeracji">
    <w:name w:val="Znaki numeracji"/>
    <w:qFormat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11BC6"/>
    <w:pPr>
      <w:spacing w:after="120"/>
    </w:pPr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Droid Sans Devanagari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B56F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2B56FA"/>
    <w:pPr>
      <w:tabs>
        <w:tab w:val="center" w:pos="4680"/>
        <w:tab w:val="right" w:pos="9360"/>
      </w:tabs>
    </w:pPr>
  </w:style>
  <w:style w:type="paragraph" w:customStyle="1" w:styleId="NoParagraphStyle">
    <w:name w:val="[No Paragraph Style]"/>
    <w:qFormat/>
    <w:rsid w:val="00844C27"/>
    <w:pPr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</w:rPr>
  </w:style>
  <w:style w:type="paragraph" w:customStyle="1" w:styleId="BasicParagraph">
    <w:name w:val="[Basic Paragraph]"/>
    <w:basedOn w:val="NoParagraphStyle"/>
    <w:uiPriority w:val="99"/>
    <w:qFormat/>
    <w:rsid w:val="00844C27"/>
  </w:style>
  <w:style w:type="paragraph" w:customStyle="1" w:styleId="AddressContactInfo">
    <w:name w:val="Address/Contact Info"/>
    <w:basedOn w:val="NoParagraphStyle"/>
    <w:uiPriority w:val="99"/>
    <w:qFormat/>
    <w:rsid w:val="0053713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755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0C90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qFormat/>
    <w:rsid w:val="00E9023C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3696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C2B19"/>
    <w:pPr>
      <w:widowControl/>
    </w:pPr>
    <w:rPr>
      <w:rFonts w:asciiTheme="minorHAnsi" w:eastAsiaTheme="minorHAnsi" w:hAnsiTheme="minorHAnsi" w:cstheme="minorBidi"/>
      <w:b/>
      <w:bCs/>
    </w:rPr>
  </w:style>
  <w:style w:type="paragraph" w:customStyle="1" w:styleId="Zawartoramki">
    <w:name w:val="Zawartość ramki"/>
    <w:basedOn w:val="Normal"/>
    <w:qFormat/>
  </w:style>
  <w:style w:type="table" w:customStyle="1" w:styleId="TableGrid">
    <w:name w:val="TableGrid"/>
    <w:rsid w:val="00A2299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MA">
    <w:name w:val="MMA"/>
    <w:basedOn w:val="TableNormal"/>
    <w:uiPriority w:val="99"/>
    <w:qFormat/>
    <w:rsid w:val="00442A93"/>
    <w:rPr>
      <w:sz w:val="22"/>
      <w:szCs w:val="22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:sz w:val="20"/>
      </w:rPr>
      <w:tblPr/>
      <w:tcPr>
        <w:shd w:val="clear" w:color="auto" w:fill="5B9BD5" w:themeFill="accent5"/>
      </w:tcPr>
    </w:tblStylePr>
    <w:tblStylePr w:type="band1Horz">
      <w:rPr>
        <w:color w:val="auto"/>
        <w:sz w:val="20"/>
      </w:rPr>
      <w:tblPr/>
      <w:tcPr>
        <w:shd w:val="clear" w:color="auto" w:fill="CBE1EB"/>
      </w:tcPr>
    </w:tblStylePr>
    <w:tblStylePr w:type="band2Horz">
      <w:rPr>
        <w:sz w:val="20"/>
      </w:rPr>
      <w:tblPr/>
      <w:tcPr>
        <w:shd w:val="clear" w:color="auto" w:fill="E7F1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strat.com/gic-fsa/)" TargetMode="External"/><Relationship Id="rId13" Type="http://schemas.openxmlformats.org/officeDocument/2006/relationships/hyperlink" Target="http://www.umass.edu/humres/faculty-and-staff-assistance-progra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mpower-retirement.com/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ua-multilingual-servi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ower-retirement.com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orgs/department-of-unemployment-assistance)" TargetMode="External"/><Relationship Id="rId10" Type="http://schemas.openxmlformats.org/officeDocument/2006/relationships/hyperlink" Target="http://www.benstrat.com/gic-fsa/)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enstrat.com/gic-fsa/" TargetMode="External"/><Relationship Id="rId14" Type="http://schemas.openxmlformats.org/officeDocument/2006/relationships/hyperlink" Target="http://www.liveandworkwell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134A-2A0A-4A39-8ED4-4BA8140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8833</Characters>
  <Application>Microsoft Office Word</Application>
  <DocSecurity>4</DocSecurity>
  <Lines>1766</Lines>
  <Paragraphs>1160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Shawn Lindholm</cp:lastModifiedBy>
  <cp:revision>2</cp:revision>
  <cp:lastPrinted>2020-08-21T15:42:00Z</cp:lastPrinted>
  <dcterms:created xsi:type="dcterms:W3CDTF">2020-08-28T21:44:00Z</dcterms:created>
  <dcterms:modified xsi:type="dcterms:W3CDTF">2020-08-28T21:44:00Z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