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A053" w14:textId="77777777" w:rsidR="0056580D" w:rsidRDefault="0056580D">
      <w:r>
        <w:rPr>
          <w:noProof/>
        </w:rPr>
        <w:drawing>
          <wp:inline distT="0" distB="0" distL="0" distR="0" wp14:anchorId="2628F5E3" wp14:editId="0C6DCF0C">
            <wp:extent cx="5519671" cy="1108038"/>
            <wp:effectExtent l="0" t="0" r="0" b="0"/>
            <wp:docPr id="1588814933" name="Picture 5" descr="UM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14933" name="Picture 5" descr="UMass Logo."/>
                    <pic:cNvPicPr/>
                  </pic:nvPicPr>
                  <pic:blipFill>
                    <a:blip r:embed="rId8">
                      <a:extLst>
                        <a:ext uri="{28A0092B-C50C-407E-A947-70E740481C1C}">
                          <a14:useLocalDpi xmlns:a14="http://schemas.microsoft.com/office/drawing/2010/main" val="0"/>
                        </a:ext>
                      </a:extLst>
                    </a:blip>
                    <a:stretch>
                      <a:fillRect/>
                    </a:stretch>
                  </pic:blipFill>
                  <pic:spPr>
                    <a:xfrm>
                      <a:off x="0" y="0"/>
                      <a:ext cx="5568341" cy="1117808"/>
                    </a:xfrm>
                    <a:prstGeom prst="rect">
                      <a:avLst/>
                    </a:prstGeom>
                  </pic:spPr>
                </pic:pic>
              </a:graphicData>
            </a:graphic>
          </wp:inline>
        </w:drawing>
      </w:r>
    </w:p>
    <w:p w14:paraId="220B5C1B" w14:textId="28D9318B" w:rsidR="008F033C" w:rsidRDefault="008F033C" w:rsidP="008F033C">
      <w:pPr>
        <w:pStyle w:val="Heading1"/>
        <w:rPr>
          <w:sz w:val="60"/>
          <w:szCs w:val="60"/>
        </w:rPr>
      </w:pPr>
      <w:bookmarkStart w:id="0" w:name="_Toc211341753"/>
      <w:r>
        <w:rPr>
          <w:sz w:val="60"/>
          <w:szCs w:val="60"/>
        </w:rPr>
        <w:t xml:space="preserve">Memorandum - </w:t>
      </w:r>
      <w:r w:rsidRPr="008F033C">
        <w:rPr>
          <w:sz w:val="60"/>
          <w:szCs w:val="60"/>
        </w:rPr>
        <w:t>University Employees and Political Campaigns</w:t>
      </w:r>
      <w:bookmarkEnd w:id="0"/>
    </w:p>
    <w:p w14:paraId="5A5F11A6" w14:textId="77777777" w:rsidR="007979DE" w:rsidRDefault="007979DE" w:rsidP="008F033C">
      <w:pPr>
        <w:spacing w:before="0" w:line="240" w:lineRule="auto"/>
      </w:pPr>
    </w:p>
    <w:sdt>
      <w:sdtPr>
        <w:id w:val="467174991"/>
        <w:docPartObj>
          <w:docPartGallery w:val="Table of Contents"/>
          <w:docPartUnique/>
        </w:docPartObj>
      </w:sdtPr>
      <w:sdtEndPr>
        <w:rPr>
          <w:rFonts w:ascii="Verdana" w:eastAsiaTheme="minorHAnsi" w:hAnsi="Verdana" w:cstheme="minorHAnsi"/>
          <w:noProof/>
          <w:color w:val="auto"/>
          <w:sz w:val="24"/>
          <w:szCs w:val="22"/>
        </w:rPr>
      </w:sdtEndPr>
      <w:sdtContent>
        <w:p w14:paraId="25CC8343" w14:textId="214C79E1" w:rsidR="007979DE" w:rsidRDefault="007979DE">
          <w:pPr>
            <w:pStyle w:val="TOCHeading"/>
          </w:pPr>
          <w:r>
            <w:t>Contents</w:t>
          </w:r>
        </w:p>
        <w:p w14:paraId="6D7FA830" w14:textId="15FF6CD0" w:rsidR="007979DE" w:rsidRDefault="007979DE">
          <w:pPr>
            <w:pStyle w:val="TOC1"/>
            <w:tabs>
              <w:tab w:val="right" w:leader="dot" w:pos="9350"/>
            </w:tabs>
            <w:rPr>
              <w:rFonts w:asciiTheme="minorHAnsi" w:eastAsiaTheme="minorEastAsia" w:hAnsiTheme="minorHAnsi" w:cstheme="minorBidi"/>
              <w:b w:val="0"/>
              <w:bCs w:val="0"/>
              <w:caps w:val="0"/>
              <w:noProof/>
              <w:kern w:val="2"/>
              <w14:ligatures w14:val="standardContextual"/>
            </w:rPr>
          </w:pPr>
          <w:r>
            <w:rPr>
              <w:b w:val="0"/>
              <w:bCs w:val="0"/>
              <w:caps w:val="0"/>
            </w:rPr>
            <w:fldChar w:fldCharType="begin"/>
          </w:r>
          <w:r>
            <w:rPr>
              <w:b w:val="0"/>
              <w:bCs w:val="0"/>
              <w:caps w:val="0"/>
            </w:rPr>
            <w:instrText xml:space="preserve"> TOC \o "1-5" \h \z \u </w:instrText>
          </w:r>
          <w:r>
            <w:rPr>
              <w:b w:val="0"/>
              <w:bCs w:val="0"/>
              <w:caps w:val="0"/>
            </w:rPr>
            <w:fldChar w:fldCharType="separate"/>
          </w:r>
          <w:hyperlink w:anchor="_Toc211341753" w:history="1">
            <w:r w:rsidRPr="001E5330">
              <w:rPr>
                <w:rStyle w:val="Hyperlink"/>
                <w:noProof/>
              </w:rPr>
              <w:t>Memorandum - University Employees and Political Campaigns</w:t>
            </w:r>
            <w:r>
              <w:rPr>
                <w:noProof/>
                <w:webHidden/>
              </w:rPr>
              <w:tab/>
            </w:r>
            <w:r>
              <w:rPr>
                <w:noProof/>
                <w:webHidden/>
              </w:rPr>
              <w:fldChar w:fldCharType="begin"/>
            </w:r>
            <w:r>
              <w:rPr>
                <w:noProof/>
                <w:webHidden/>
              </w:rPr>
              <w:instrText xml:space="preserve"> PAGEREF _Toc211341753 \h </w:instrText>
            </w:r>
            <w:r>
              <w:rPr>
                <w:noProof/>
                <w:webHidden/>
              </w:rPr>
            </w:r>
            <w:r>
              <w:rPr>
                <w:noProof/>
                <w:webHidden/>
              </w:rPr>
              <w:fldChar w:fldCharType="separate"/>
            </w:r>
            <w:r>
              <w:rPr>
                <w:noProof/>
                <w:webHidden/>
              </w:rPr>
              <w:t>1</w:t>
            </w:r>
            <w:r>
              <w:rPr>
                <w:noProof/>
                <w:webHidden/>
              </w:rPr>
              <w:fldChar w:fldCharType="end"/>
            </w:r>
          </w:hyperlink>
        </w:p>
        <w:p w14:paraId="556425C8" w14:textId="68ED257A" w:rsidR="007979DE" w:rsidRDefault="007979DE">
          <w:pPr>
            <w:pStyle w:val="TOC2"/>
            <w:tabs>
              <w:tab w:val="right" w:leader="dot" w:pos="9350"/>
            </w:tabs>
            <w:rPr>
              <w:rFonts w:eastAsiaTheme="minorEastAsia" w:cstheme="minorBidi"/>
              <w:b w:val="0"/>
              <w:bCs w:val="0"/>
              <w:noProof/>
              <w:kern w:val="2"/>
              <w:sz w:val="24"/>
              <w:szCs w:val="24"/>
              <w14:ligatures w14:val="standardContextual"/>
            </w:rPr>
          </w:pPr>
          <w:hyperlink w:anchor="_Toc211341754" w:history="1">
            <w:r w:rsidRPr="001E5330">
              <w:rPr>
                <w:rStyle w:val="Hyperlink"/>
                <w:noProof/>
              </w:rPr>
              <w:t>Memorandum</w:t>
            </w:r>
            <w:r>
              <w:rPr>
                <w:noProof/>
                <w:webHidden/>
              </w:rPr>
              <w:tab/>
            </w:r>
            <w:r>
              <w:rPr>
                <w:noProof/>
                <w:webHidden/>
              </w:rPr>
              <w:fldChar w:fldCharType="begin"/>
            </w:r>
            <w:r>
              <w:rPr>
                <w:noProof/>
                <w:webHidden/>
              </w:rPr>
              <w:instrText xml:space="preserve"> PAGEREF _Toc211341754 \h </w:instrText>
            </w:r>
            <w:r>
              <w:rPr>
                <w:noProof/>
                <w:webHidden/>
              </w:rPr>
            </w:r>
            <w:r>
              <w:rPr>
                <w:noProof/>
                <w:webHidden/>
              </w:rPr>
              <w:fldChar w:fldCharType="separate"/>
            </w:r>
            <w:r>
              <w:rPr>
                <w:noProof/>
                <w:webHidden/>
              </w:rPr>
              <w:t>2</w:t>
            </w:r>
            <w:r>
              <w:rPr>
                <w:noProof/>
                <w:webHidden/>
              </w:rPr>
              <w:fldChar w:fldCharType="end"/>
            </w:r>
          </w:hyperlink>
        </w:p>
        <w:p w14:paraId="7E0A5CAB" w14:textId="279521B1" w:rsidR="007979DE" w:rsidRDefault="007979DE">
          <w:pPr>
            <w:pStyle w:val="TOC3"/>
            <w:tabs>
              <w:tab w:val="right" w:leader="dot" w:pos="9350"/>
            </w:tabs>
            <w:rPr>
              <w:rFonts w:eastAsiaTheme="minorEastAsia" w:cstheme="minorBidi"/>
              <w:noProof/>
              <w:kern w:val="2"/>
              <w:sz w:val="24"/>
              <w:szCs w:val="24"/>
              <w14:ligatures w14:val="standardContextual"/>
            </w:rPr>
          </w:pPr>
          <w:hyperlink w:anchor="_Toc211341755" w:history="1">
            <w:r w:rsidRPr="001E5330">
              <w:rPr>
                <w:rStyle w:val="Hyperlink"/>
                <w:noProof/>
              </w:rPr>
              <w:t>Prohibited Activities</w:t>
            </w:r>
            <w:r>
              <w:rPr>
                <w:noProof/>
                <w:webHidden/>
              </w:rPr>
              <w:tab/>
            </w:r>
            <w:r>
              <w:rPr>
                <w:noProof/>
                <w:webHidden/>
              </w:rPr>
              <w:fldChar w:fldCharType="begin"/>
            </w:r>
            <w:r>
              <w:rPr>
                <w:noProof/>
                <w:webHidden/>
              </w:rPr>
              <w:instrText xml:space="preserve"> PAGEREF _Toc211341755 \h </w:instrText>
            </w:r>
            <w:r>
              <w:rPr>
                <w:noProof/>
                <w:webHidden/>
              </w:rPr>
            </w:r>
            <w:r>
              <w:rPr>
                <w:noProof/>
                <w:webHidden/>
              </w:rPr>
              <w:fldChar w:fldCharType="separate"/>
            </w:r>
            <w:r>
              <w:rPr>
                <w:noProof/>
                <w:webHidden/>
              </w:rPr>
              <w:t>2</w:t>
            </w:r>
            <w:r>
              <w:rPr>
                <w:noProof/>
                <w:webHidden/>
              </w:rPr>
              <w:fldChar w:fldCharType="end"/>
            </w:r>
          </w:hyperlink>
        </w:p>
        <w:p w14:paraId="6E92055A" w14:textId="17BBBD50" w:rsidR="007979DE" w:rsidRDefault="007979DE">
          <w:pPr>
            <w:pStyle w:val="TOC4"/>
            <w:tabs>
              <w:tab w:val="left" w:pos="960"/>
              <w:tab w:val="right" w:leader="dot" w:pos="9350"/>
            </w:tabs>
            <w:rPr>
              <w:rFonts w:eastAsiaTheme="minorEastAsia" w:cstheme="minorBidi"/>
              <w:noProof/>
              <w:kern w:val="2"/>
              <w:sz w:val="24"/>
              <w:szCs w:val="24"/>
              <w14:ligatures w14:val="standardContextual"/>
            </w:rPr>
          </w:pPr>
          <w:hyperlink w:anchor="_Toc211341756" w:history="1">
            <w:r w:rsidRPr="001E5330">
              <w:rPr>
                <w:rStyle w:val="Hyperlink"/>
                <w:noProof/>
              </w:rPr>
              <w:t>1.</w:t>
            </w:r>
            <w:r>
              <w:rPr>
                <w:rFonts w:eastAsiaTheme="minorEastAsia" w:cstheme="minorBidi"/>
                <w:noProof/>
                <w:kern w:val="2"/>
                <w:sz w:val="24"/>
                <w:szCs w:val="24"/>
                <w14:ligatures w14:val="standardContextual"/>
              </w:rPr>
              <w:tab/>
            </w:r>
            <w:r w:rsidRPr="001E5330">
              <w:rPr>
                <w:rStyle w:val="Hyperlink"/>
                <w:noProof/>
              </w:rPr>
              <w:t>Use of Public Resources</w:t>
            </w:r>
            <w:r>
              <w:rPr>
                <w:noProof/>
                <w:webHidden/>
              </w:rPr>
              <w:tab/>
            </w:r>
            <w:r>
              <w:rPr>
                <w:noProof/>
                <w:webHidden/>
              </w:rPr>
              <w:fldChar w:fldCharType="begin"/>
            </w:r>
            <w:r>
              <w:rPr>
                <w:noProof/>
                <w:webHidden/>
              </w:rPr>
              <w:instrText xml:space="preserve"> PAGEREF _Toc211341756 \h </w:instrText>
            </w:r>
            <w:r>
              <w:rPr>
                <w:noProof/>
                <w:webHidden/>
              </w:rPr>
            </w:r>
            <w:r>
              <w:rPr>
                <w:noProof/>
                <w:webHidden/>
              </w:rPr>
              <w:fldChar w:fldCharType="separate"/>
            </w:r>
            <w:r>
              <w:rPr>
                <w:noProof/>
                <w:webHidden/>
              </w:rPr>
              <w:t>2</w:t>
            </w:r>
            <w:r>
              <w:rPr>
                <w:noProof/>
                <w:webHidden/>
              </w:rPr>
              <w:fldChar w:fldCharType="end"/>
            </w:r>
          </w:hyperlink>
        </w:p>
        <w:p w14:paraId="72E44A00" w14:textId="5DDC0CC9" w:rsidR="007979DE" w:rsidRDefault="007979DE">
          <w:pPr>
            <w:pStyle w:val="TOC4"/>
            <w:tabs>
              <w:tab w:val="left" w:pos="960"/>
              <w:tab w:val="right" w:leader="dot" w:pos="9350"/>
            </w:tabs>
            <w:rPr>
              <w:rFonts w:eastAsiaTheme="minorEastAsia" w:cstheme="minorBidi"/>
              <w:noProof/>
              <w:kern w:val="2"/>
              <w:sz w:val="24"/>
              <w:szCs w:val="24"/>
              <w14:ligatures w14:val="standardContextual"/>
            </w:rPr>
          </w:pPr>
          <w:hyperlink w:anchor="_Toc211341757" w:history="1">
            <w:r w:rsidRPr="001E5330">
              <w:rPr>
                <w:rStyle w:val="Hyperlink"/>
                <w:noProof/>
              </w:rPr>
              <w:t>2.</w:t>
            </w:r>
            <w:r>
              <w:rPr>
                <w:rFonts w:eastAsiaTheme="minorEastAsia" w:cstheme="minorBidi"/>
                <w:noProof/>
                <w:kern w:val="2"/>
                <w:sz w:val="24"/>
                <w:szCs w:val="24"/>
                <w14:ligatures w14:val="standardContextual"/>
              </w:rPr>
              <w:tab/>
            </w:r>
            <w:r w:rsidRPr="001E5330">
              <w:rPr>
                <w:rStyle w:val="Hyperlink"/>
                <w:noProof/>
              </w:rPr>
              <w:t>Fundraising Activity By Public Employees</w:t>
            </w:r>
            <w:r>
              <w:rPr>
                <w:noProof/>
                <w:webHidden/>
              </w:rPr>
              <w:tab/>
            </w:r>
            <w:r>
              <w:rPr>
                <w:noProof/>
                <w:webHidden/>
              </w:rPr>
              <w:fldChar w:fldCharType="begin"/>
            </w:r>
            <w:r>
              <w:rPr>
                <w:noProof/>
                <w:webHidden/>
              </w:rPr>
              <w:instrText xml:space="preserve"> PAGEREF _Toc211341757 \h </w:instrText>
            </w:r>
            <w:r>
              <w:rPr>
                <w:noProof/>
                <w:webHidden/>
              </w:rPr>
            </w:r>
            <w:r>
              <w:rPr>
                <w:noProof/>
                <w:webHidden/>
              </w:rPr>
              <w:fldChar w:fldCharType="separate"/>
            </w:r>
            <w:r>
              <w:rPr>
                <w:noProof/>
                <w:webHidden/>
              </w:rPr>
              <w:t>2</w:t>
            </w:r>
            <w:r>
              <w:rPr>
                <w:noProof/>
                <w:webHidden/>
              </w:rPr>
              <w:fldChar w:fldCharType="end"/>
            </w:r>
          </w:hyperlink>
        </w:p>
        <w:p w14:paraId="3AF7C907" w14:textId="771E37DD" w:rsidR="007979DE" w:rsidRDefault="007979DE">
          <w:pPr>
            <w:pStyle w:val="TOC4"/>
            <w:tabs>
              <w:tab w:val="left" w:pos="960"/>
              <w:tab w:val="right" w:leader="dot" w:pos="9350"/>
            </w:tabs>
            <w:rPr>
              <w:rFonts w:eastAsiaTheme="minorEastAsia" w:cstheme="minorBidi"/>
              <w:noProof/>
              <w:kern w:val="2"/>
              <w:sz w:val="24"/>
              <w:szCs w:val="24"/>
              <w14:ligatures w14:val="standardContextual"/>
            </w:rPr>
          </w:pPr>
          <w:hyperlink w:anchor="_Toc211341758" w:history="1">
            <w:r w:rsidRPr="001E5330">
              <w:rPr>
                <w:rStyle w:val="Hyperlink"/>
                <w:noProof/>
              </w:rPr>
              <w:t>3.</w:t>
            </w:r>
            <w:r>
              <w:rPr>
                <w:rFonts w:eastAsiaTheme="minorEastAsia" w:cstheme="minorBidi"/>
                <w:noProof/>
                <w:kern w:val="2"/>
                <w:sz w:val="24"/>
                <w:szCs w:val="24"/>
                <w14:ligatures w14:val="standardContextual"/>
              </w:rPr>
              <w:tab/>
            </w:r>
            <w:r w:rsidRPr="001E5330">
              <w:rPr>
                <w:rStyle w:val="Hyperlink"/>
                <w:noProof/>
              </w:rPr>
              <w:t>Fundraising in Public Buildings</w:t>
            </w:r>
            <w:r>
              <w:rPr>
                <w:noProof/>
                <w:webHidden/>
              </w:rPr>
              <w:tab/>
            </w:r>
            <w:r>
              <w:rPr>
                <w:noProof/>
                <w:webHidden/>
              </w:rPr>
              <w:fldChar w:fldCharType="begin"/>
            </w:r>
            <w:r>
              <w:rPr>
                <w:noProof/>
                <w:webHidden/>
              </w:rPr>
              <w:instrText xml:space="preserve"> PAGEREF _Toc211341758 \h </w:instrText>
            </w:r>
            <w:r>
              <w:rPr>
                <w:noProof/>
                <w:webHidden/>
              </w:rPr>
            </w:r>
            <w:r>
              <w:rPr>
                <w:noProof/>
                <w:webHidden/>
              </w:rPr>
              <w:fldChar w:fldCharType="separate"/>
            </w:r>
            <w:r>
              <w:rPr>
                <w:noProof/>
                <w:webHidden/>
              </w:rPr>
              <w:t>3</w:t>
            </w:r>
            <w:r>
              <w:rPr>
                <w:noProof/>
                <w:webHidden/>
              </w:rPr>
              <w:fldChar w:fldCharType="end"/>
            </w:r>
          </w:hyperlink>
        </w:p>
        <w:p w14:paraId="4EE7E217" w14:textId="3152660A" w:rsidR="007979DE" w:rsidRDefault="007979DE">
          <w:pPr>
            <w:pStyle w:val="TOC3"/>
            <w:tabs>
              <w:tab w:val="right" w:leader="dot" w:pos="9350"/>
            </w:tabs>
            <w:rPr>
              <w:rFonts w:eastAsiaTheme="minorEastAsia" w:cstheme="minorBidi"/>
              <w:noProof/>
              <w:kern w:val="2"/>
              <w:sz w:val="24"/>
              <w:szCs w:val="24"/>
              <w14:ligatures w14:val="standardContextual"/>
            </w:rPr>
          </w:pPr>
          <w:hyperlink w:anchor="_Toc211341759" w:history="1">
            <w:r w:rsidRPr="001E5330">
              <w:rPr>
                <w:rStyle w:val="Hyperlink"/>
                <w:noProof/>
              </w:rPr>
              <w:t>Permitted Activities</w:t>
            </w:r>
            <w:r>
              <w:rPr>
                <w:noProof/>
                <w:webHidden/>
              </w:rPr>
              <w:tab/>
            </w:r>
            <w:r>
              <w:rPr>
                <w:noProof/>
                <w:webHidden/>
              </w:rPr>
              <w:fldChar w:fldCharType="begin"/>
            </w:r>
            <w:r>
              <w:rPr>
                <w:noProof/>
                <w:webHidden/>
              </w:rPr>
              <w:instrText xml:space="preserve"> PAGEREF _Toc211341759 \h </w:instrText>
            </w:r>
            <w:r>
              <w:rPr>
                <w:noProof/>
                <w:webHidden/>
              </w:rPr>
            </w:r>
            <w:r>
              <w:rPr>
                <w:noProof/>
                <w:webHidden/>
              </w:rPr>
              <w:fldChar w:fldCharType="separate"/>
            </w:r>
            <w:r>
              <w:rPr>
                <w:noProof/>
                <w:webHidden/>
              </w:rPr>
              <w:t>4</w:t>
            </w:r>
            <w:r>
              <w:rPr>
                <w:noProof/>
                <w:webHidden/>
              </w:rPr>
              <w:fldChar w:fldCharType="end"/>
            </w:r>
          </w:hyperlink>
        </w:p>
        <w:p w14:paraId="30D97050" w14:textId="360D66DA" w:rsidR="007979DE" w:rsidRDefault="007979DE">
          <w:pPr>
            <w:pStyle w:val="TOC4"/>
            <w:tabs>
              <w:tab w:val="left" w:pos="960"/>
              <w:tab w:val="right" w:leader="dot" w:pos="9350"/>
            </w:tabs>
            <w:rPr>
              <w:rFonts w:eastAsiaTheme="minorEastAsia" w:cstheme="minorBidi"/>
              <w:noProof/>
              <w:kern w:val="2"/>
              <w:sz w:val="24"/>
              <w:szCs w:val="24"/>
              <w14:ligatures w14:val="standardContextual"/>
            </w:rPr>
          </w:pPr>
          <w:hyperlink w:anchor="_Toc211341760" w:history="1">
            <w:r w:rsidRPr="001E5330">
              <w:rPr>
                <w:rStyle w:val="Hyperlink"/>
                <w:noProof/>
              </w:rPr>
              <w:t>1.</w:t>
            </w:r>
            <w:r>
              <w:rPr>
                <w:rFonts w:eastAsiaTheme="minorEastAsia" w:cstheme="minorBidi"/>
                <w:noProof/>
                <w:kern w:val="2"/>
                <w:sz w:val="24"/>
                <w:szCs w:val="24"/>
                <w14:ligatures w14:val="standardContextual"/>
              </w:rPr>
              <w:tab/>
            </w:r>
            <w:r w:rsidRPr="001E5330">
              <w:rPr>
                <w:rStyle w:val="Hyperlink"/>
                <w:noProof/>
              </w:rPr>
              <w:t>Political Activity Outside Working Hours</w:t>
            </w:r>
            <w:r>
              <w:rPr>
                <w:noProof/>
                <w:webHidden/>
              </w:rPr>
              <w:tab/>
            </w:r>
            <w:r>
              <w:rPr>
                <w:noProof/>
                <w:webHidden/>
              </w:rPr>
              <w:fldChar w:fldCharType="begin"/>
            </w:r>
            <w:r>
              <w:rPr>
                <w:noProof/>
                <w:webHidden/>
              </w:rPr>
              <w:instrText xml:space="preserve"> PAGEREF _Toc211341760 \h </w:instrText>
            </w:r>
            <w:r>
              <w:rPr>
                <w:noProof/>
                <w:webHidden/>
              </w:rPr>
            </w:r>
            <w:r>
              <w:rPr>
                <w:noProof/>
                <w:webHidden/>
              </w:rPr>
              <w:fldChar w:fldCharType="separate"/>
            </w:r>
            <w:r>
              <w:rPr>
                <w:noProof/>
                <w:webHidden/>
              </w:rPr>
              <w:t>4</w:t>
            </w:r>
            <w:r>
              <w:rPr>
                <w:noProof/>
                <w:webHidden/>
              </w:rPr>
              <w:fldChar w:fldCharType="end"/>
            </w:r>
          </w:hyperlink>
        </w:p>
        <w:p w14:paraId="20B66C61" w14:textId="27B059E8" w:rsidR="007979DE" w:rsidRDefault="007979DE">
          <w:pPr>
            <w:pStyle w:val="TOC4"/>
            <w:tabs>
              <w:tab w:val="left" w:pos="960"/>
              <w:tab w:val="right" w:leader="dot" w:pos="9350"/>
            </w:tabs>
            <w:rPr>
              <w:rFonts w:eastAsiaTheme="minorEastAsia" w:cstheme="minorBidi"/>
              <w:noProof/>
              <w:kern w:val="2"/>
              <w:sz w:val="24"/>
              <w:szCs w:val="24"/>
              <w14:ligatures w14:val="standardContextual"/>
            </w:rPr>
          </w:pPr>
          <w:hyperlink w:anchor="_Toc211341761" w:history="1">
            <w:r w:rsidRPr="001E5330">
              <w:rPr>
                <w:rStyle w:val="Hyperlink"/>
                <w:noProof/>
              </w:rPr>
              <w:t>2.</w:t>
            </w:r>
            <w:r>
              <w:rPr>
                <w:rFonts w:eastAsiaTheme="minorEastAsia" w:cstheme="minorBidi"/>
                <w:noProof/>
                <w:kern w:val="2"/>
                <w:sz w:val="24"/>
                <w:szCs w:val="24"/>
                <w14:ligatures w14:val="standardContextual"/>
              </w:rPr>
              <w:tab/>
            </w:r>
            <w:r w:rsidRPr="001E5330">
              <w:rPr>
                <w:rStyle w:val="Hyperlink"/>
                <w:noProof/>
              </w:rPr>
              <w:t>Equal Access to Public Buildings</w:t>
            </w:r>
            <w:r>
              <w:rPr>
                <w:noProof/>
                <w:webHidden/>
              </w:rPr>
              <w:tab/>
            </w:r>
            <w:r>
              <w:rPr>
                <w:noProof/>
                <w:webHidden/>
              </w:rPr>
              <w:fldChar w:fldCharType="begin"/>
            </w:r>
            <w:r>
              <w:rPr>
                <w:noProof/>
                <w:webHidden/>
              </w:rPr>
              <w:instrText xml:space="preserve"> PAGEREF _Toc211341761 \h </w:instrText>
            </w:r>
            <w:r>
              <w:rPr>
                <w:noProof/>
                <w:webHidden/>
              </w:rPr>
            </w:r>
            <w:r>
              <w:rPr>
                <w:noProof/>
                <w:webHidden/>
              </w:rPr>
              <w:fldChar w:fldCharType="separate"/>
            </w:r>
            <w:r>
              <w:rPr>
                <w:noProof/>
                <w:webHidden/>
              </w:rPr>
              <w:t>4</w:t>
            </w:r>
            <w:r>
              <w:rPr>
                <w:noProof/>
                <w:webHidden/>
              </w:rPr>
              <w:fldChar w:fldCharType="end"/>
            </w:r>
          </w:hyperlink>
        </w:p>
        <w:p w14:paraId="11688B60" w14:textId="4A48541F" w:rsidR="007979DE" w:rsidRDefault="007979DE">
          <w:pPr>
            <w:pStyle w:val="TOC4"/>
            <w:tabs>
              <w:tab w:val="left" w:pos="960"/>
              <w:tab w:val="right" w:leader="dot" w:pos="9350"/>
            </w:tabs>
            <w:rPr>
              <w:rFonts w:eastAsiaTheme="minorEastAsia" w:cstheme="minorBidi"/>
              <w:noProof/>
              <w:kern w:val="2"/>
              <w:sz w:val="24"/>
              <w:szCs w:val="24"/>
              <w14:ligatures w14:val="standardContextual"/>
            </w:rPr>
          </w:pPr>
          <w:hyperlink w:anchor="_Toc211341762" w:history="1">
            <w:r w:rsidRPr="001E5330">
              <w:rPr>
                <w:rStyle w:val="Hyperlink"/>
                <w:noProof/>
              </w:rPr>
              <w:t>3.</w:t>
            </w:r>
            <w:r>
              <w:rPr>
                <w:rFonts w:eastAsiaTheme="minorEastAsia" w:cstheme="minorBidi"/>
                <w:noProof/>
                <w:kern w:val="2"/>
                <w:sz w:val="24"/>
                <w:szCs w:val="24"/>
                <w14:ligatures w14:val="standardContextual"/>
              </w:rPr>
              <w:tab/>
            </w:r>
            <w:r w:rsidRPr="001E5330">
              <w:rPr>
                <w:rStyle w:val="Hyperlink"/>
                <w:noProof/>
              </w:rPr>
              <w:t>Ballot Questions</w:t>
            </w:r>
            <w:r>
              <w:rPr>
                <w:noProof/>
                <w:webHidden/>
              </w:rPr>
              <w:tab/>
            </w:r>
            <w:r>
              <w:rPr>
                <w:noProof/>
                <w:webHidden/>
              </w:rPr>
              <w:fldChar w:fldCharType="begin"/>
            </w:r>
            <w:r>
              <w:rPr>
                <w:noProof/>
                <w:webHidden/>
              </w:rPr>
              <w:instrText xml:space="preserve"> PAGEREF _Toc211341762 \h </w:instrText>
            </w:r>
            <w:r>
              <w:rPr>
                <w:noProof/>
                <w:webHidden/>
              </w:rPr>
            </w:r>
            <w:r>
              <w:rPr>
                <w:noProof/>
                <w:webHidden/>
              </w:rPr>
              <w:fldChar w:fldCharType="separate"/>
            </w:r>
            <w:r>
              <w:rPr>
                <w:noProof/>
                <w:webHidden/>
              </w:rPr>
              <w:t>4</w:t>
            </w:r>
            <w:r>
              <w:rPr>
                <w:noProof/>
                <w:webHidden/>
              </w:rPr>
              <w:fldChar w:fldCharType="end"/>
            </w:r>
          </w:hyperlink>
        </w:p>
        <w:p w14:paraId="72B795F3" w14:textId="6E10EE3E" w:rsidR="007979DE" w:rsidRDefault="007979DE">
          <w:pPr>
            <w:pStyle w:val="TOC3"/>
            <w:tabs>
              <w:tab w:val="right" w:leader="dot" w:pos="9350"/>
            </w:tabs>
            <w:rPr>
              <w:rFonts w:eastAsiaTheme="minorEastAsia" w:cstheme="minorBidi"/>
              <w:noProof/>
              <w:kern w:val="2"/>
              <w:sz w:val="24"/>
              <w:szCs w:val="24"/>
              <w14:ligatures w14:val="standardContextual"/>
            </w:rPr>
          </w:pPr>
          <w:hyperlink w:anchor="_Toc211341763" w:history="1">
            <w:r w:rsidRPr="001E5330">
              <w:rPr>
                <w:rStyle w:val="Hyperlink"/>
                <w:noProof/>
              </w:rPr>
              <w:t>Campaign Contributions</w:t>
            </w:r>
            <w:r>
              <w:rPr>
                <w:noProof/>
                <w:webHidden/>
              </w:rPr>
              <w:tab/>
            </w:r>
            <w:r>
              <w:rPr>
                <w:noProof/>
                <w:webHidden/>
              </w:rPr>
              <w:fldChar w:fldCharType="begin"/>
            </w:r>
            <w:r>
              <w:rPr>
                <w:noProof/>
                <w:webHidden/>
              </w:rPr>
              <w:instrText xml:space="preserve"> PAGEREF _Toc211341763 \h </w:instrText>
            </w:r>
            <w:r>
              <w:rPr>
                <w:noProof/>
                <w:webHidden/>
              </w:rPr>
            </w:r>
            <w:r>
              <w:rPr>
                <w:noProof/>
                <w:webHidden/>
              </w:rPr>
              <w:fldChar w:fldCharType="separate"/>
            </w:r>
            <w:r>
              <w:rPr>
                <w:noProof/>
                <w:webHidden/>
              </w:rPr>
              <w:t>5</w:t>
            </w:r>
            <w:r>
              <w:rPr>
                <w:noProof/>
                <w:webHidden/>
              </w:rPr>
              <w:fldChar w:fldCharType="end"/>
            </w:r>
          </w:hyperlink>
        </w:p>
        <w:p w14:paraId="08006E56" w14:textId="3ECB4AE8" w:rsidR="007979DE" w:rsidRDefault="007979DE">
          <w:pPr>
            <w:pStyle w:val="TOC5"/>
            <w:tabs>
              <w:tab w:val="right" w:leader="dot" w:pos="9350"/>
            </w:tabs>
            <w:rPr>
              <w:rFonts w:eastAsiaTheme="minorEastAsia" w:cstheme="minorBidi"/>
              <w:noProof/>
              <w:kern w:val="2"/>
              <w:sz w:val="24"/>
              <w:szCs w:val="24"/>
              <w14:ligatures w14:val="standardContextual"/>
            </w:rPr>
          </w:pPr>
          <w:hyperlink w:anchor="_Toc211341764" w:history="1">
            <w:r w:rsidRPr="001E5330">
              <w:rPr>
                <w:rStyle w:val="Hyperlink"/>
                <w:noProof/>
              </w:rPr>
              <w:t>Further Information</w:t>
            </w:r>
            <w:r>
              <w:rPr>
                <w:noProof/>
                <w:webHidden/>
              </w:rPr>
              <w:tab/>
            </w:r>
            <w:r>
              <w:rPr>
                <w:noProof/>
                <w:webHidden/>
              </w:rPr>
              <w:fldChar w:fldCharType="begin"/>
            </w:r>
            <w:r>
              <w:rPr>
                <w:noProof/>
                <w:webHidden/>
              </w:rPr>
              <w:instrText xml:space="preserve"> PAGEREF _Toc211341764 \h </w:instrText>
            </w:r>
            <w:r>
              <w:rPr>
                <w:noProof/>
                <w:webHidden/>
              </w:rPr>
            </w:r>
            <w:r>
              <w:rPr>
                <w:noProof/>
                <w:webHidden/>
              </w:rPr>
              <w:fldChar w:fldCharType="separate"/>
            </w:r>
            <w:r>
              <w:rPr>
                <w:noProof/>
                <w:webHidden/>
              </w:rPr>
              <w:t>6</w:t>
            </w:r>
            <w:r>
              <w:rPr>
                <w:noProof/>
                <w:webHidden/>
              </w:rPr>
              <w:fldChar w:fldCharType="end"/>
            </w:r>
          </w:hyperlink>
        </w:p>
        <w:p w14:paraId="31D46C7E" w14:textId="139591D1" w:rsidR="007979DE" w:rsidRDefault="007979DE">
          <w:r>
            <w:rPr>
              <w:rFonts w:asciiTheme="majorHAnsi" w:hAnsiTheme="majorHAnsi"/>
              <w:b/>
              <w:bCs/>
              <w:caps/>
              <w:szCs w:val="24"/>
            </w:rPr>
            <w:fldChar w:fldCharType="end"/>
          </w:r>
        </w:p>
      </w:sdtContent>
    </w:sdt>
    <w:p w14:paraId="692143A4" w14:textId="5591EDDD" w:rsidR="008F033C" w:rsidRPr="008F033C" w:rsidRDefault="008F033C" w:rsidP="008F033C">
      <w:pPr>
        <w:spacing w:before="0" w:line="240" w:lineRule="auto"/>
      </w:pPr>
      <w:r>
        <w:br w:type="page"/>
      </w:r>
    </w:p>
    <w:p w14:paraId="70B2DADA" w14:textId="11EEBDC7" w:rsidR="008F033C" w:rsidRPr="008F033C" w:rsidRDefault="008F033C" w:rsidP="008F033C">
      <w:pPr>
        <w:pStyle w:val="Heading2"/>
      </w:pPr>
      <w:bookmarkStart w:id="1" w:name="_Toc211341754"/>
      <w:r w:rsidRPr="008F033C">
        <w:lastRenderedPageBreak/>
        <w:t>Memorandum</w:t>
      </w:r>
      <w:bookmarkEnd w:id="1"/>
    </w:p>
    <w:p w14:paraId="17391DE1" w14:textId="3D7B580B" w:rsidR="00244DC9" w:rsidRDefault="008F033C" w:rsidP="008F033C">
      <w:r>
        <w:t>To: All University Employees</w:t>
      </w:r>
    </w:p>
    <w:p w14:paraId="55C42B0E" w14:textId="3F5FF254" w:rsidR="008F033C" w:rsidRDefault="008F033C" w:rsidP="008F033C">
      <w:r>
        <w:t xml:space="preserve">From: </w:t>
      </w:r>
      <w:r>
        <w:t>Office</w:t>
      </w:r>
      <w:r>
        <w:rPr>
          <w:spacing w:val="-4"/>
        </w:rPr>
        <w:t xml:space="preserve"> </w:t>
      </w:r>
      <w:r>
        <w:t>of</w:t>
      </w:r>
      <w:r>
        <w:rPr>
          <w:spacing w:val="-6"/>
        </w:rPr>
        <w:t xml:space="preserve"> </w:t>
      </w:r>
      <w:r>
        <w:t>General</w:t>
      </w:r>
      <w:r>
        <w:rPr>
          <w:spacing w:val="-4"/>
        </w:rPr>
        <w:t xml:space="preserve"> </w:t>
      </w:r>
      <w:r>
        <w:t>Counsel,</w:t>
      </w:r>
      <w:r>
        <w:rPr>
          <w:spacing w:val="-6"/>
        </w:rPr>
        <w:t xml:space="preserve"> </w:t>
      </w:r>
      <w:r>
        <w:t>University</w:t>
      </w:r>
      <w:r>
        <w:rPr>
          <w:spacing w:val="-6"/>
        </w:rPr>
        <w:t xml:space="preserve"> </w:t>
      </w:r>
      <w:r>
        <w:t>of</w:t>
      </w:r>
      <w:r>
        <w:rPr>
          <w:spacing w:val="-6"/>
        </w:rPr>
        <w:t xml:space="preserve"> </w:t>
      </w:r>
      <w:r>
        <w:t>Massachusetts</w:t>
      </w:r>
    </w:p>
    <w:p w14:paraId="5CB86C1B" w14:textId="4E34259B" w:rsidR="008F033C" w:rsidRDefault="008F033C" w:rsidP="008F033C">
      <w:r>
        <w:t>Date: October 10, 2018</w:t>
      </w:r>
    </w:p>
    <w:p w14:paraId="55397F86" w14:textId="3C7699CF" w:rsidR="008F033C" w:rsidRDefault="008F033C" w:rsidP="008F033C">
      <w:pPr>
        <w:pBdr>
          <w:bottom w:val="single" w:sz="6" w:space="1" w:color="auto"/>
        </w:pBdr>
        <w:rPr>
          <w:spacing w:val="-2"/>
        </w:rPr>
      </w:pPr>
      <w:r>
        <w:t xml:space="preserve">Re: </w:t>
      </w:r>
      <w:r>
        <w:t>University</w:t>
      </w:r>
      <w:r>
        <w:rPr>
          <w:spacing w:val="-8"/>
        </w:rPr>
        <w:t xml:space="preserve"> </w:t>
      </w:r>
      <w:r>
        <w:t>Employees</w:t>
      </w:r>
      <w:r>
        <w:rPr>
          <w:spacing w:val="-7"/>
        </w:rPr>
        <w:t xml:space="preserve"> </w:t>
      </w:r>
      <w:r>
        <w:t>and</w:t>
      </w:r>
      <w:r>
        <w:rPr>
          <w:spacing w:val="-8"/>
        </w:rPr>
        <w:t xml:space="preserve"> </w:t>
      </w:r>
      <w:r>
        <w:t>Political</w:t>
      </w:r>
      <w:r>
        <w:rPr>
          <w:spacing w:val="-8"/>
        </w:rPr>
        <w:t xml:space="preserve"> </w:t>
      </w:r>
      <w:r>
        <w:rPr>
          <w:spacing w:val="-2"/>
        </w:rPr>
        <w:t>Campaigns</w:t>
      </w:r>
    </w:p>
    <w:p w14:paraId="205EB2BB" w14:textId="3EE2F437" w:rsidR="008F033C" w:rsidRDefault="008F033C" w:rsidP="008F033C">
      <w:r w:rsidRPr="008F033C">
        <w:t xml:space="preserve">The Massachusetts Campaign Finance Law, General Laws Chapter 55, and the Massachusetts Conflict of Interest Law, General Laws Chapter 268A, each restrict public employees from engaging in certain activities in connection with political campaigns. The Campaign Finance Law also prohibits political fundraising in public buildings. This memorandum provides a general summary of certain provisions of the laws that are of particular importance to </w:t>
      </w:r>
      <w:proofErr w:type="gramStart"/>
      <w:r w:rsidRPr="008F033C">
        <w:t>University</w:t>
      </w:r>
      <w:proofErr w:type="gramEnd"/>
      <w:r w:rsidRPr="008F033C">
        <w:t xml:space="preserve"> employees. All University employees intending to participate in political campaigns should familiarize themselves with the laws’ requirements.</w:t>
      </w:r>
    </w:p>
    <w:p w14:paraId="54189344" w14:textId="69CBC333" w:rsidR="008F033C" w:rsidRPr="008F033C" w:rsidRDefault="008F033C" w:rsidP="008F033C">
      <w:pPr>
        <w:pStyle w:val="Heading3"/>
      </w:pPr>
      <w:bookmarkStart w:id="2" w:name="_Toc211341755"/>
      <w:r w:rsidRPr="008F033C">
        <w:t>Prohibited Activities</w:t>
      </w:r>
      <w:bookmarkEnd w:id="2"/>
    </w:p>
    <w:p w14:paraId="7B758ED3" w14:textId="1A62E9CD" w:rsidR="008F033C" w:rsidRPr="008F033C" w:rsidRDefault="008F033C" w:rsidP="002015E5">
      <w:pPr>
        <w:pStyle w:val="Heading4"/>
      </w:pPr>
      <w:bookmarkStart w:id="3" w:name="_Toc211341756"/>
      <w:r w:rsidRPr="008F033C">
        <w:t>Use of Public Resources</w:t>
      </w:r>
      <w:bookmarkEnd w:id="3"/>
    </w:p>
    <w:p w14:paraId="71659EC5" w14:textId="5E77FF95" w:rsidR="008F033C" w:rsidRPr="008F033C" w:rsidRDefault="008F033C" w:rsidP="008F033C">
      <w:r w:rsidRPr="008F033C">
        <w:t xml:space="preserve">Under both the Campaign Finance Law and the </w:t>
      </w:r>
      <w:proofErr w:type="gramStart"/>
      <w:r w:rsidRPr="008F033C">
        <w:t>Conflict of Interest</w:t>
      </w:r>
      <w:proofErr w:type="gramEnd"/>
      <w:r w:rsidRPr="008F033C">
        <w:t xml:space="preserve"> Law, public employees and other individuals are prohibited from using public resources to support political campaigns. “Public resources” include any items that are paid for with public money such as: telephones, computers, copiers and other office equipment; paper, envelopes or other office supplies; and government vehicles. In addition, a public employee may not engage in any political campaign activity during his or her paid work time. For example, a public employee may not use an office computer to print out campaign literature or make telephone calls from his or her work site promoting a political candidate. A public </w:t>
      </w:r>
      <w:proofErr w:type="gramStart"/>
      <w:r w:rsidRPr="008F033C">
        <w:t>employee also</w:t>
      </w:r>
      <w:proofErr w:type="gramEnd"/>
      <w:r w:rsidRPr="008F033C">
        <w:t xml:space="preserve"> may not send campaign related emails using office computers or email accounts.</w:t>
      </w:r>
    </w:p>
    <w:p w14:paraId="03F6A461" w14:textId="5FAF6B3E" w:rsidR="008F033C" w:rsidRPr="008F033C" w:rsidRDefault="008F033C" w:rsidP="002015E5">
      <w:pPr>
        <w:pStyle w:val="Heading4"/>
      </w:pPr>
      <w:bookmarkStart w:id="4" w:name="_Toc211341757"/>
      <w:r>
        <w:t xml:space="preserve">Fundraising Activity </w:t>
      </w:r>
      <w:proofErr w:type="gramStart"/>
      <w:r>
        <w:t>By</w:t>
      </w:r>
      <w:proofErr w:type="gramEnd"/>
      <w:r>
        <w:t xml:space="preserve"> Public Employees</w:t>
      </w:r>
      <w:bookmarkEnd w:id="4"/>
    </w:p>
    <w:p w14:paraId="0E27123A" w14:textId="211A5392" w:rsidR="008F033C" w:rsidRPr="008F033C" w:rsidRDefault="008F033C" w:rsidP="008F033C">
      <w:r w:rsidRPr="008F033C">
        <w:t>Section 13 of the Campaign Finance Law prohibits Massachusetts public employees from engaging in fundraising “for the political campaign purposes of any candidate for public office, or of any political committee, or for any political purpose.” The law’s restriction on fundraising applies “to all public elections”, whether at the local, state, or federal level.</w:t>
      </w:r>
    </w:p>
    <w:p w14:paraId="0BF2F78A" w14:textId="77777777" w:rsidR="008F033C" w:rsidRPr="008F033C" w:rsidRDefault="008F033C" w:rsidP="008F033C">
      <w:r w:rsidRPr="008F033C">
        <w:lastRenderedPageBreak/>
        <w:t xml:space="preserve">All full and part time Massachusetts public employees are prohibited from “directly or indirectly” soliciting or receiving monetary contributions or anything of value for a candidate or political purpose. This provision applies at all </w:t>
      </w:r>
      <w:proofErr w:type="gramStart"/>
      <w:r w:rsidRPr="008F033C">
        <w:t>times;</w:t>
      </w:r>
      <w:proofErr w:type="gramEnd"/>
      <w:r w:rsidRPr="008F033C">
        <w:t xml:space="preserve"> during and after an employee’s work hours, on weekends</w:t>
      </w:r>
    </w:p>
    <w:p w14:paraId="7626DFC1" w14:textId="77777777" w:rsidR="008F033C" w:rsidRDefault="008F033C" w:rsidP="008F033C">
      <w:r w:rsidRPr="008F033C">
        <w:t xml:space="preserve">and vacations. The statute’s prohibition includes fundraising activities for political candidates, political action committees (PACs) and ballot question committees. Among the activities that public employees may not engage in are: </w:t>
      </w:r>
    </w:p>
    <w:p w14:paraId="2638D4FD" w14:textId="77777777" w:rsidR="008F033C" w:rsidRDefault="008F033C" w:rsidP="006219AF">
      <w:pPr>
        <w:pStyle w:val="ListParagraph"/>
      </w:pPr>
      <w:r w:rsidRPr="008F033C">
        <w:t xml:space="preserve">soliciting campaign </w:t>
      </w:r>
      <w:proofErr w:type="gramStart"/>
      <w:r w:rsidRPr="008F033C">
        <w:t>contributions;</w:t>
      </w:r>
      <w:proofErr w:type="gramEnd"/>
      <w:r w:rsidRPr="008F033C">
        <w:t xml:space="preserve"> </w:t>
      </w:r>
    </w:p>
    <w:p w14:paraId="24D20EE9" w14:textId="44400F4B" w:rsidR="008F033C" w:rsidRDefault="008F033C" w:rsidP="006219AF">
      <w:pPr>
        <w:pStyle w:val="ListParagraph"/>
      </w:pPr>
      <w:r w:rsidRPr="008F033C">
        <w:t xml:space="preserve">selling tickets to or collecting money for a political </w:t>
      </w:r>
      <w:proofErr w:type="gramStart"/>
      <w:r w:rsidRPr="008F033C">
        <w:t>fundraiser;</w:t>
      </w:r>
      <w:proofErr w:type="gramEnd"/>
      <w:r w:rsidRPr="008F033C">
        <w:t xml:space="preserve"> </w:t>
      </w:r>
    </w:p>
    <w:p w14:paraId="714D62C0" w14:textId="77777777" w:rsidR="008F033C" w:rsidRDefault="008F033C" w:rsidP="006219AF">
      <w:pPr>
        <w:pStyle w:val="ListParagraph"/>
      </w:pPr>
      <w:r w:rsidRPr="008F033C">
        <w:t xml:space="preserve">identifying people who may be targeted for political </w:t>
      </w:r>
      <w:proofErr w:type="gramStart"/>
      <w:r w:rsidRPr="008F033C">
        <w:t>fundraising;</w:t>
      </w:r>
      <w:proofErr w:type="gramEnd"/>
      <w:r w:rsidRPr="008F033C">
        <w:t xml:space="preserve"> </w:t>
      </w:r>
    </w:p>
    <w:p w14:paraId="14617BBA" w14:textId="21658DE0" w:rsidR="008F033C" w:rsidRDefault="008F033C" w:rsidP="006219AF">
      <w:pPr>
        <w:pStyle w:val="ListParagraph"/>
      </w:pPr>
      <w:r w:rsidRPr="008F033C">
        <w:t xml:space="preserve">serving as the treasurer of a political </w:t>
      </w:r>
      <w:proofErr w:type="gramStart"/>
      <w:r w:rsidRPr="008F033C">
        <w:t>committee;</w:t>
      </w:r>
      <w:proofErr w:type="gramEnd"/>
    </w:p>
    <w:p w14:paraId="3E789F67" w14:textId="77777777" w:rsidR="008F033C" w:rsidRDefault="008F033C" w:rsidP="006219AF">
      <w:pPr>
        <w:pStyle w:val="ListParagraph"/>
      </w:pPr>
      <w:r w:rsidRPr="008F033C">
        <w:t xml:space="preserve">sponsoring or hosting a political fundraiser; and </w:t>
      </w:r>
    </w:p>
    <w:p w14:paraId="030F3304" w14:textId="0707D421" w:rsidR="008F033C" w:rsidRPr="008F033C" w:rsidRDefault="008F033C" w:rsidP="006219AF">
      <w:pPr>
        <w:pStyle w:val="ListParagraph"/>
      </w:pPr>
      <w:r w:rsidRPr="008F033C">
        <w:t>allowing their names to be used in letters, advertisements or phone calls that ask for political contributions.</w:t>
      </w:r>
    </w:p>
    <w:p w14:paraId="7924D7AC" w14:textId="77777777" w:rsidR="008F033C" w:rsidRPr="008F033C" w:rsidRDefault="008F033C" w:rsidP="008F033C">
      <w:r w:rsidRPr="008F033C">
        <w:t>The potential penalties for violating Section 13 of the Campaign Finance Law include imprisonment of up to one year and a fine of up to $1000.00.</w:t>
      </w:r>
    </w:p>
    <w:p w14:paraId="255B0CD1" w14:textId="0C28DF68" w:rsidR="008F033C" w:rsidRDefault="002015E5" w:rsidP="002015E5">
      <w:pPr>
        <w:pStyle w:val="Heading4"/>
      </w:pPr>
      <w:bookmarkStart w:id="5" w:name="_Toc211341758"/>
      <w:r>
        <w:t>Fundraising in Public Buildings</w:t>
      </w:r>
      <w:bookmarkEnd w:id="5"/>
    </w:p>
    <w:p w14:paraId="3FF907B8" w14:textId="47417ABE" w:rsidR="002015E5" w:rsidRPr="002015E5" w:rsidRDefault="002015E5" w:rsidP="002015E5">
      <w:r w:rsidRPr="002015E5">
        <w:t xml:space="preserve">Section 14 of the Campaign Finance Law prohibits anyone (not just public employees) from engaging in political fundraising activity in a building occupied for government purposes. This prohibition applies in publicly owned buildings, as well as privately owned buildings that are occupied by public agency offices. Prohibited fundraising activities within a public building include: 1) asking for or receiving contributions for any political candidate or committee; 2) selling tickets to a political fundraiser; 3) using the building as the site of a political fundraiser; 4) using the building’s address or phone number as the contact for a political fundraiser; and 5) posting of any advertisements or notices in the building promoting a political fundraising event. In addition, the prohibition against soliciting political contributions in a public building extends to communications sent from outside the building, including telephone, mail and email communications. For example, emails soliciting political contributions that are sent to a public employee at his or her work email address are prohibited by Section 14. A political campaign may not accept contributions that are made </w:t>
      </w:r>
      <w:proofErr w:type="gramStart"/>
      <w:r w:rsidRPr="002015E5">
        <w:t>as a result of</w:t>
      </w:r>
      <w:proofErr w:type="gramEnd"/>
      <w:r w:rsidRPr="002015E5">
        <w:t xml:space="preserve"> </w:t>
      </w:r>
      <w:proofErr w:type="gramStart"/>
      <w:r w:rsidRPr="002015E5">
        <w:t>such a</w:t>
      </w:r>
      <w:proofErr w:type="gramEnd"/>
      <w:r w:rsidRPr="002015E5">
        <w:t xml:space="preserve"> solicitation.</w:t>
      </w:r>
    </w:p>
    <w:p w14:paraId="4FA9EA7F" w14:textId="77777777" w:rsidR="002015E5" w:rsidRPr="002015E5" w:rsidRDefault="002015E5" w:rsidP="002015E5">
      <w:r w:rsidRPr="002015E5">
        <w:t>The potential penalties for violating Section 14 of the Campaign Finance Law include imprisonment of up to one year and a fine of up to $1000.00.</w:t>
      </w:r>
    </w:p>
    <w:p w14:paraId="431538D1" w14:textId="51D7D890" w:rsidR="002015E5" w:rsidRPr="002015E5" w:rsidRDefault="002015E5" w:rsidP="002015E5">
      <w:pPr>
        <w:pStyle w:val="Heading3"/>
      </w:pPr>
      <w:bookmarkStart w:id="6" w:name="_Toc211341759"/>
      <w:r>
        <w:lastRenderedPageBreak/>
        <w:t>Permitted Activities</w:t>
      </w:r>
      <w:bookmarkEnd w:id="6"/>
    </w:p>
    <w:p w14:paraId="05595000" w14:textId="6EB8E6CD" w:rsidR="008F033C" w:rsidRDefault="002015E5" w:rsidP="002015E5">
      <w:pPr>
        <w:pStyle w:val="Heading4"/>
        <w:numPr>
          <w:ilvl w:val="0"/>
          <w:numId w:val="17"/>
        </w:numPr>
      </w:pPr>
      <w:bookmarkStart w:id="7" w:name="_Toc211341760"/>
      <w:r>
        <w:t>Political Activity Outside Working Hours</w:t>
      </w:r>
      <w:bookmarkEnd w:id="7"/>
    </w:p>
    <w:p w14:paraId="5A00C20A" w14:textId="7A774C0B" w:rsidR="002015E5" w:rsidRDefault="002015E5" w:rsidP="002015E5">
      <w:r w:rsidRPr="002015E5">
        <w:t xml:space="preserve">The </w:t>
      </w:r>
      <w:proofErr w:type="gramStart"/>
      <w:r w:rsidRPr="002015E5">
        <w:t>Conflict of Interest</w:t>
      </w:r>
      <w:proofErr w:type="gramEnd"/>
      <w:r w:rsidRPr="002015E5">
        <w:t xml:space="preserve"> Law and the Campaign Finance Law do not prohibit public employees from participating in all political activities. A public employee may work for a political campaign or committee in a non</w:t>
      </w:r>
      <w:r w:rsidRPr="002015E5">
        <w:rPr>
          <w:rFonts w:ascii="Cambria Math" w:hAnsi="Cambria Math" w:cs="Cambria Math"/>
        </w:rPr>
        <w:t>‐</w:t>
      </w:r>
      <w:r w:rsidRPr="002015E5">
        <w:t xml:space="preserve">fundraising capacity, </w:t>
      </w:r>
      <w:proofErr w:type="gramStart"/>
      <w:r w:rsidRPr="002015E5">
        <w:t>as long as</w:t>
      </w:r>
      <w:proofErr w:type="gramEnd"/>
      <w:r w:rsidRPr="002015E5">
        <w:t xml:space="preserve"> the work is performed outside of his or her usual working hours. Public employees may perform such tasks as holding campaign signs, making telephone calls on behalf of a candidate, stuffing envelopes, and hosting candidate events that do not involve fundraising. In addition, public employees may engage in non</w:t>
      </w:r>
      <w:r w:rsidRPr="002015E5">
        <w:rPr>
          <w:rFonts w:ascii="Cambria Math" w:hAnsi="Cambria Math" w:cs="Cambria Math"/>
        </w:rPr>
        <w:t>‐</w:t>
      </w:r>
      <w:r w:rsidRPr="002015E5">
        <w:t>election related political activity as private citizens, on their own time and without the use of public resources, such as attending and speaking at public meetings or writing letters to the editor concerning political issues.</w:t>
      </w:r>
    </w:p>
    <w:p w14:paraId="5CDD8CEE" w14:textId="6026465A" w:rsidR="002015E5" w:rsidRDefault="002015E5" w:rsidP="002015E5">
      <w:pPr>
        <w:pStyle w:val="Heading4"/>
      </w:pPr>
      <w:bookmarkStart w:id="8" w:name="_Toc211341761"/>
      <w:r>
        <w:t>Equal Access to Public Buildings</w:t>
      </w:r>
      <w:bookmarkEnd w:id="8"/>
    </w:p>
    <w:p w14:paraId="1935BAD8" w14:textId="69DCF007" w:rsidR="002015E5" w:rsidRDefault="002015E5" w:rsidP="002015E5">
      <w:r w:rsidRPr="002015E5">
        <w:t xml:space="preserve">While political fundraising of any kind is prohibited in public buildings, a public building may be used to host a political event, </w:t>
      </w:r>
      <w:proofErr w:type="gramStart"/>
      <w:r w:rsidRPr="002015E5">
        <w:t>as long as</w:t>
      </w:r>
      <w:proofErr w:type="gramEnd"/>
      <w:r w:rsidRPr="002015E5">
        <w:t xml:space="preserve"> the space is made available on an equal basis to any other political or outside group wishing to use the space and under the same terms and conditions. The principle of equal access applies to candidates and political committees campaigning or seeking signatures on a petition in a public building: </w:t>
      </w:r>
      <w:proofErr w:type="gramStart"/>
      <w:r w:rsidRPr="002015E5">
        <w:t>as long as</w:t>
      </w:r>
      <w:proofErr w:type="gramEnd"/>
      <w:r w:rsidRPr="002015E5">
        <w:t xml:space="preserve"> equal access is provided and no fundraising takes place, there is no violation of the Campaign Finance Law. Public entities may establish a policy regarding access to buildings for political purposes, </w:t>
      </w:r>
      <w:proofErr w:type="gramStart"/>
      <w:r w:rsidRPr="002015E5">
        <w:t>as long as</w:t>
      </w:r>
      <w:proofErr w:type="gramEnd"/>
      <w:r w:rsidRPr="002015E5">
        <w:t xml:space="preserve"> the policy is applied evenly to all groups.</w:t>
      </w:r>
    </w:p>
    <w:p w14:paraId="5063C0AE" w14:textId="1BB2BDAC" w:rsidR="002015E5" w:rsidRDefault="002015E5" w:rsidP="002015E5">
      <w:pPr>
        <w:pStyle w:val="Heading4"/>
      </w:pPr>
      <w:bookmarkStart w:id="9" w:name="_Toc211341762"/>
      <w:r>
        <w:t>Ballot Questions</w:t>
      </w:r>
      <w:bookmarkEnd w:id="9"/>
    </w:p>
    <w:p w14:paraId="609233CD" w14:textId="670C574D" w:rsidR="002015E5" w:rsidRPr="002015E5" w:rsidRDefault="002015E5" w:rsidP="002015E5">
      <w:r w:rsidRPr="002015E5">
        <w:t xml:space="preserve">The Campaign Finance Law generally prohibits the use of public resources to support or oppose a ballot </w:t>
      </w:r>
      <w:r w:rsidR="007979DE" w:rsidRPr="002015E5">
        <w:t>question;</w:t>
      </w:r>
      <w:r w:rsidRPr="002015E5">
        <w:t xml:space="preserve"> </w:t>
      </w:r>
      <w:r w:rsidR="007979DE" w:rsidRPr="002015E5">
        <w:t>however,</w:t>
      </w:r>
      <w:r w:rsidRPr="002015E5">
        <w:t xml:space="preserve"> the law does not prohibit public employees</w:t>
      </w:r>
      <w:r w:rsidR="007979DE">
        <w:t>,</w:t>
      </w:r>
      <w:r w:rsidRPr="002015E5">
        <w:t xml:space="preserve"> who are policy</w:t>
      </w:r>
      <w:r w:rsidR="007979DE">
        <w:t>-</w:t>
      </w:r>
      <w:r w:rsidRPr="002015E5">
        <w:t>making officials</w:t>
      </w:r>
      <w:r w:rsidR="007979DE">
        <w:t>,</w:t>
      </w:r>
      <w:r w:rsidRPr="002015E5">
        <w:t xml:space="preserve"> from expressing their views in their official capacity about a ballot question that may affect the public employee’s agency. In connection with their official duties, policy making employees may prepare a summary of the anticipated effects of a ballot question and the public agency’s position on the question, </w:t>
      </w:r>
      <w:proofErr w:type="gramStart"/>
      <w:r w:rsidRPr="002015E5">
        <w:t>as long as</w:t>
      </w:r>
      <w:proofErr w:type="gramEnd"/>
      <w:r w:rsidRPr="002015E5">
        <w:t xml:space="preserve"> the public employee does not expressly advocate for a particular vote on the question.</w:t>
      </w:r>
    </w:p>
    <w:p w14:paraId="6534F238" w14:textId="692AEE52" w:rsidR="002015E5" w:rsidRDefault="002015E5" w:rsidP="002015E5">
      <w:pPr>
        <w:pStyle w:val="Heading3"/>
      </w:pPr>
      <w:bookmarkStart w:id="10" w:name="_Toc211341763"/>
      <w:r>
        <w:lastRenderedPageBreak/>
        <w:t>Campaign Contributions</w:t>
      </w:r>
      <w:bookmarkEnd w:id="10"/>
    </w:p>
    <w:p w14:paraId="6A559B59" w14:textId="17E260B8" w:rsidR="006219AF" w:rsidRPr="006219AF" w:rsidRDefault="006219AF" w:rsidP="006219AF">
      <w:r w:rsidRPr="006219AF">
        <w:t>Although public employees may not engage in fundraising themselves, they may make their own financial contributions to political candidates and committees subject to certain contribution limits.</w:t>
      </w:r>
    </w:p>
    <w:p w14:paraId="25176EA4" w14:textId="77777777" w:rsidR="006219AF" w:rsidRDefault="006219AF" w:rsidP="006219AF">
      <w:pPr>
        <w:spacing w:after="240"/>
      </w:pPr>
      <w:r w:rsidRPr="006219AF">
        <w:t>For state elections, the following contribution limits are applicable to all individual donors under Section 7A of the Campaign Finance Law (current for calendar year 2018):</w:t>
      </w:r>
    </w:p>
    <w:p w14:paraId="60A4CC9C" w14:textId="77777777" w:rsidR="006219AF" w:rsidRDefault="006219AF" w:rsidP="006219AF">
      <w:pPr>
        <w:pStyle w:val="ListParagraph"/>
      </w:pPr>
      <w:r w:rsidRPr="006219AF">
        <w:t xml:space="preserve">$1,000.00 to a particular </w:t>
      </w:r>
      <w:proofErr w:type="gramStart"/>
      <w:r w:rsidRPr="006219AF">
        <w:t>candidate;</w:t>
      </w:r>
      <w:proofErr w:type="gramEnd"/>
    </w:p>
    <w:p w14:paraId="4F759F53" w14:textId="77777777" w:rsidR="006219AF" w:rsidRDefault="006219AF" w:rsidP="006219AF">
      <w:pPr>
        <w:pStyle w:val="ListParagraph"/>
      </w:pPr>
      <w:r w:rsidRPr="006219AF">
        <w:t xml:space="preserve">$500.00 to a political action </w:t>
      </w:r>
      <w:proofErr w:type="gramStart"/>
      <w:r w:rsidRPr="006219AF">
        <w:t>committee;</w:t>
      </w:r>
      <w:proofErr w:type="gramEnd"/>
    </w:p>
    <w:p w14:paraId="3B031C8A" w14:textId="77777777" w:rsidR="006219AF" w:rsidRDefault="006219AF" w:rsidP="006219AF">
      <w:pPr>
        <w:pStyle w:val="ListParagraph"/>
      </w:pPr>
      <w:r w:rsidRPr="006219AF">
        <w:t>$5,000.00 to a state party committee; and</w:t>
      </w:r>
    </w:p>
    <w:p w14:paraId="1D86FFEF" w14:textId="630E69F1" w:rsidR="006219AF" w:rsidRPr="006219AF" w:rsidRDefault="006219AF" w:rsidP="006219AF">
      <w:pPr>
        <w:pStyle w:val="ListParagraph"/>
      </w:pPr>
      <w:r w:rsidRPr="006219AF">
        <w:t>$5,000.00 to a city or town party committee.</w:t>
      </w:r>
    </w:p>
    <w:p w14:paraId="5F153BAE" w14:textId="77777777" w:rsidR="006219AF" w:rsidRPr="006219AF" w:rsidRDefault="006219AF" w:rsidP="006219AF">
      <w:r w:rsidRPr="006219AF">
        <w:t xml:space="preserve">There is no limit on the </w:t>
      </w:r>
      <w:proofErr w:type="gramStart"/>
      <w:r w:rsidRPr="006219AF">
        <w:t>amount</w:t>
      </w:r>
      <w:proofErr w:type="gramEnd"/>
      <w:r w:rsidRPr="006219AF">
        <w:t xml:space="preserve"> of contributions an individual may make to a committee formed to support or oppose a Massachusetts ballot question. All state campaign contributions are reported to the Massachusetts Office of Campaign and Political Finance which maintains a searchable online database listing the name, address and employer of individual contributors.</w:t>
      </w:r>
    </w:p>
    <w:p w14:paraId="4C9F6378" w14:textId="77777777" w:rsidR="006219AF" w:rsidRPr="006219AF" w:rsidRDefault="006219AF" w:rsidP="006219AF">
      <w:r w:rsidRPr="006219AF">
        <w:t>Campaign contributions for federal elections (e.g. President and U.S. Congress) are governed by federal law and are subject to higher contribution limits. The Federal Election Commission maintains an online searchable database of individuals contributing at least $200.00 to federal election campaigns.</w:t>
      </w:r>
    </w:p>
    <w:p w14:paraId="78D0D90D" w14:textId="77777777" w:rsidR="006219AF" w:rsidRDefault="006219AF" w:rsidP="006219AF">
      <w:pPr>
        <w:spacing w:after="240"/>
      </w:pPr>
      <w:r w:rsidRPr="006219AF">
        <w:t>The current 2017</w:t>
      </w:r>
      <w:r w:rsidRPr="006219AF">
        <w:rPr>
          <w:rFonts w:ascii="Cambria Math" w:hAnsi="Cambria Math" w:cs="Cambria Math"/>
        </w:rPr>
        <w:t>‐</w:t>
      </w:r>
      <w:r w:rsidRPr="006219AF">
        <w:t>2018 limits for individual contributors in federal elections are as follows:</w:t>
      </w:r>
    </w:p>
    <w:p w14:paraId="17E88F2D" w14:textId="77777777" w:rsidR="006219AF" w:rsidRDefault="006219AF" w:rsidP="006219AF">
      <w:pPr>
        <w:pStyle w:val="ListParagraph"/>
      </w:pPr>
      <w:r w:rsidRPr="006219AF">
        <w:t xml:space="preserve">$2,700.00 to a particular candidate per </w:t>
      </w:r>
      <w:proofErr w:type="gramStart"/>
      <w:r w:rsidRPr="006219AF">
        <w:t>election;</w:t>
      </w:r>
      <w:proofErr w:type="gramEnd"/>
    </w:p>
    <w:p w14:paraId="7BD55909" w14:textId="77777777" w:rsidR="006219AF" w:rsidRDefault="006219AF" w:rsidP="006219AF">
      <w:pPr>
        <w:pStyle w:val="ListParagraph"/>
      </w:pPr>
      <w:r w:rsidRPr="006219AF">
        <w:t xml:space="preserve">$5,000.00 to a political action committee per calendar </w:t>
      </w:r>
      <w:proofErr w:type="gramStart"/>
      <w:r w:rsidRPr="006219AF">
        <w:t>year;</w:t>
      </w:r>
      <w:proofErr w:type="gramEnd"/>
    </w:p>
    <w:p w14:paraId="1CCAF9D8" w14:textId="3D3A2CCC" w:rsidR="006219AF" w:rsidRPr="006219AF" w:rsidRDefault="006219AF" w:rsidP="006219AF">
      <w:pPr>
        <w:pStyle w:val="ListParagraph"/>
      </w:pPr>
      <w:r w:rsidRPr="006219AF">
        <w:t>$33,900.00 to a national party committee per calendar year.</w:t>
      </w:r>
    </w:p>
    <w:p w14:paraId="31DF98C7" w14:textId="4817BC13" w:rsidR="006219AF" w:rsidRPr="006219AF" w:rsidRDefault="006219AF" w:rsidP="006219AF">
      <w:r w:rsidRPr="006219AF">
        <w:t>Under</w:t>
      </w:r>
      <w:r>
        <w:t xml:space="preserve"> </w:t>
      </w:r>
      <w:r w:rsidRPr="006219AF">
        <w:t>federal</w:t>
      </w:r>
      <w:r>
        <w:t xml:space="preserve"> </w:t>
      </w:r>
      <w:r w:rsidRPr="006219AF">
        <w:t>campaign</w:t>
      </w:r>
      <w:r>
        <w:t xml:space="preserve"> </w:t>
      </w:r>
      <w:r w:rsidRPr="006219AF">
        <w:t>laws,</w:t>
      </w:r>
      <w:r>
        <w:t xml:space="preserve"> </w:t>
      </w:r>
      <w:r w:rsidRPr="006219AF">
        <w:t>a</w:t>
      </w:r>
      <w:r>
        <w:t xml:space="preserve"> </w:t>
      </w:r>
      <w:r w:rsidRPr="006219AF">
        <w:t>primary</w:t>
      </w:r>
      <w:r>
        <w:t xml:space="preserve"> </w:t>
      </w:r>
      <w:r w:rsidRPr="006219AF">
        <w:t>election</w:t>
      </w:r>
      <w:r>
        <w:t xml:space="preserve"> </w:t>
      </w:r>
      <w:r w:rsidRPr="006219AF">
        <w:t>and</w:t>
      </w:r>
      <w:r>
        <w:t xml:space="preserve"> </w:t>
      </w:r>
      <w:r w:rsidRPr="006219AF">
        <w:t>a</w:t>
      </w:r>
      <w:r>
        <w:t xml:space="preserve"> </w:t>
      </w:r>
      <w:r w:rsidRPr="006219AF">
        <w:t>general</w:t>
      </w:r>
      <w:r>
        <w:t xml:space="preserve"> </w:t>
      </w:r>
      <w:r w:rsidRPr="006219AF">
        <w:t>election</w:t>
      </w:r>
      <w:r>
        <w:t xml:space="preserve"> </w:t>
      </w:r>
      <w:r w:rsidRPr="006219AF">
        <w:t>are</w:t>
      </w:r>
      <w:r>
        <w:t xml:space="preserve"> </w:t>
      </w:r>
      <w:r w:rsidRPr="006219AF">
        <w:t>each</w:t>
      </w:r>
      <w:r>
        <w:t xml:space="preserve"> </w:t>
      </w:r>
      <w:r w:rsidRPr="006219AF">
        <w:t>considered</w:t>
      </w:r>
      <w:r>
        <w:t xml:space="preserve"> </w:t>
      </w:r>
      <w:r w:rsidRPr="006219AF">
        <w:t>a</w:t>
      </w:r>
      <w:r>
        <w:t xml:space="preserve"> </w:t>
      </w:r>
      <w:r w:rsidRPr="006219AF">
        <w:t>separate election with a separate limit of $2,700.00 to a particular candidate.</w:t>
      </w:r>
      <w:r>
        <w:t xml:space="preserve"> </w:t>
      </w:r>
      <w:r w:rsidRPr="006219AF">
        <w:t>In addition, the limitation on contributions to political</w:t>
      </w:r>
      <w:r w:rsidR="007979DE">
        <w:t xml:space="preserve"> </w:t>
      </w:r>
      <w:r w:rsidRPr="006219AF">
        <w:t>action committees applies to a committee that makes contributions to other federal political committees. Independent</w:t>
      </w:r>
      <w:r w:rsidRPr="006219AF">
        <w:rPr>
          <w:rFonts w:ascii="Cambria Math" w:hAnsi="Cambria Math" w:cs="Cambria Math"/>
        </w:rPr>
        <w:t>‐</w:t>
      </w:r>
      <w:r w:rsidRPr="006219AF">
        <w:t>expenditure</w:t>
      </w:r>
      <w:r w:rsidRPr="006219AF">
        <w:rPr>
          <w:rFonts w:ascii="Cambria Math" w:hAnsi="Cambria Math" w:cs="Cambria Math"/>
        </w:rPr>
        <w:t>‐</w:t>
      </w:r>
      <w:r w:rsidRPr="006219AF">
        <w:t>only political</w:t>
      </w:r>
      <w:r>
        <w:t xml:space="preserve"> </w:t>
      </w:r>
      <w:r w:rsidRPr="006219AF">
        <w:t xml:space="preserve">committees (sometimes called </w:t>
      </w:r>
      <w:r w:rsidRPr="006219AF">
        <w:rPr>
          <w:rFonts w:cs="Verdana"/>
        </w:rPr>
        <w:t>“</w:t>
      </w:r>
      <w:r w:rsidRPr="006219AF">
        <w:t>super PACs</w:t>
      </w:r>
      <w:r w:rsidRPr="006219AF">
        <w:rPr>
          <w:rFonts w:cs="Verdana"/>
        </w:rPr>
        <w:t>”</w:t>
      </w:r>
      <w:r w:rsidRPr="006219AF">
        <w:t>) may accept unlimited contributions from individuals, corporations, and labor organizations.</w:t>
      </w:r>
    </w:p>
    <w:p w14:paraId="059B7EE3" w14:textId="59264F9B" w:rsidR="002015E5" w:rsidRDefault="006219AF" w:rsidP="006219AF">
      <w:pPr>
        <w:pStyle w:val="Heading5"/>
      </w:pPr>
      <w:bookmarkStart w:id="11" w:name="_Toc211341764"/>
      <w:r w:rsidRPr="006219AF">
        <w:lastRenderedPageBreak/>
        <w:t xml:space="preserve">Further </w:t>
      </w:r>
      <w:r>
        <w:t>Information</w:t>
      </w:r>
      <w:bookmarkEnd w:id="11"/>
    </w:p>
    <w:p w14:paraId="2202E00F" w14:textId="71F1D721" w:rsidR="007979DE" w:rsidRPr="007979DE" w:rsidRDefault="007979DE" w:rsidP="007979DE">
      <w:r w:rsidRPr="007979DE">
        <w:t>The Massachusetts Office of Campaign and Political Finance (OCPF) is the state agency that administers the Massachusetts Campaign Finance Law. OCPF will provide a written advisory opinion to any individual seeking further guidance regarding his or her own campaign activities. OCPF also provides informal advice over the phone. OCPF may be reached at (617) 979</w:t>
      </w:r>
      <w:r w:rsidRPr="007979DE">
        <w:rPr>
          <w:rFonts w:ascii="Cambria Math" w:hAnsi="Cambria Math" w:cs="Cambria Math"/>
        </w:rPr>
        <w:t>‐</w:t>
      </w:r>
      <w:r w:rsidRPr="007979DE">
        <w:t xml:space="preserve">8300 and at </w:t>
      </w:r>
      <w:hyperlink r:id="rId9" w:history="1">
        <w:r w:rsidRPr="007979DE">
          <w:rPr>
            <w:rStyle w:val="Hyperlink"/>
          </w:rPr>
          <w:t>ocpf@cpf.state.ma.us.</w:t>
        </w:r>
      </w:hyperlink>
      <w:r w:rsidRPr="007979DE">
        <w:t xml:space="preserve"> OCPF’s webpage is found at </w:t>
      </w:r>
      <w:hyperlink r:id="rId10" w:history="1">
        <w:r w:rsidRPr="007979DE">
          <w:rPr>
            <w:rStyle w:val="Hyperlink"/>
          </w:rPr>
          <w:t>www.mass.gov/oc</w:t>
        </w:r>
        <w:r w:rsidRPr="007979DE">
          <w:rPr>
            <w:rStyle w:val="Hyperlink"/>
          </w:rPr>
          <w:t>p</w:t>
        </w:r>
        <w:r w:rsidRPr="007979DE">
          <w:rPr>
            <w:rStyle w:val="Hyperlink"/>
          </w:rPr>
          <w:t>f.</w:t>
        </w:r>
      </w:hyperlink>
    </w:p>
    <w:p w14:paraId="635A52D9" w14:textId="4C578B90" w:rsidR="007979DE" w:rsidRPr="007979DE" w:rsidRDefault="007979DE" w:rsidP="007979DE">
      <w:r w:rsidRPr="007979DE">
        <w:t xml:space="preserve">The State Ethics Commission administers the Massachusetts Conflict of Interest Law. The Commission provides free legal advice to individuals concerning the application of the </w:t>
      </w:r>
      <w:proofErr w:type="gramStart"/>
      <w:r w:rsidRPr="007979DE">
        <w:t>Conflict</w:t>
      </w:r>
      <w:r>
        <w:t xml:space="preserve"> </w:t>
      </w:r>
      <w:r w:rsidRPr="007979DE">
        <w:t>of</w:t>
      </w:r>
      <w:r>
        <w:t xml:space="preserve"> </w:t>
      </w:r>
      <w:r w:rsidRPr="007979DE">
        <w:t>Interest</w:t>
      </w:r>
      <w:proofErr w:type="gramEnd"/>
      <w:r w:rsidRPr="007979DE">
        <w:t xml:space="preserve"> Law. The Commission </w:t>
      </w:r>
      <w:r w:rsidRPr="007979DE">
        <w:t>can</w:t>
      </w:r>
      <w:r w:rsidRPr="007979DE">
        <w:t xml:space="preserve"> be reached at (617) 371</w:t>
      </w:r>
      <w:r w:rsidRPr="007979DE">
        <w:rPr>
          <w:rFonts w:ascii="Cambria Math" w:hAnsi="Cambria Math" w:cs="Cambria Math"/>
        </w:rPr>
        <w:t>‐</w:t>
      </w:r>
      <w:r w:rsidRPr="007979DE">
        <w:t>9500. The Commission</w:t>
      </w:r>
      <w:r w:rsidRPr="007979DE">
        <w:rPr>
          <w:rFonts w:cs="Verdana"/>
        </w:rPr>
        <w:t>’</w:t>
      </w:r>
      <w:r w:rsidRPr="007979DE">
        <w:t xml:space="preserve">s website is found at </w:t>
      </w:r>
      <w:hyperlink r:id="rId11" w:history="1">
        <w:r w:rsidRPr="007979DE">
          <w:rPr>
            <w:rStyle w:val="Hyperlink"/>
          </w:rPr>
          <w:t>http://www.mass.go</w:t>
        </w:r>
        <w:r w:rsidRPr="007979DE">
          <w:rPr>
            <w:rStyle w:val="Hyperlink"/>
          </w:rPr>
          <w:t>v</w:t>
        </w:r>
        <w:r w:rsidRPr="007979DE">
          <w:rPr>
            <w:rStyle w:val="Hyperlink"/>
          </w:rPr>
          <w:t>/ethics/.</w:t>
        </w:r>
      </w:hyperlink>
    </w:p>
    <w:p w14:paraId="1B293FE7" w14:textId="47677523" w:rsidR="007979DE" w:rsidRPr="007979DE" w:rsidRDefault="007979DE" w:rsidP="007979DE">
      <w:r w:rsidRPr="007979DE">
        <w:t>In</w:t>
      </w:r>
      <w:r>
        <w:t xml:space="preserve"> </w:t>
      </w:r>
      <w:r w:rsidRPr="007979DE">
        <w:t>addition,</w:t>
      </w:r>
      <w:r>
        <w:t xml:space="preserve"> </w:t>
      </w:r>
      <w:r w:rsidRPr="007979DE">
        <w:t>you</w:t>
      </w:r>
      <w:r>
        <w:t xml:space="preserve"> </w:t>
      </w:r>
      <w:r w:rsidRPr="007979DE">
        <w:t>may</w:t>
      </w:r>
      <w:r>
        <w:t xml:space="preserve"> </w:t>
      </w:r>
      <w:r w:rsidRPr="007979DE">
        <w:t>contact</w:t>
      </w:r>
      <w:r>
        <w:t xml:space="preserve"> </w:t>
      </w:r>
      <w:r w:rsidRPr="007979DE">
        <w:t>the</w:t>
      </w:r>
      <w:r>
        <w:t xml:space="preserve"> </w:t>
      </w:r>
      <w:r w:rsidRPr="007979DE">
        <w:t>University’s</w:t>
      </w:r>
      <w:r>
        <w:t xml:space="preserve"> </w:t>
      </w:r>
      <w:r w:rsidRPr="007979DE">
        <w:t>Office</w:t>
      </w:r>
      <w:r>
        <w:t xml:space="preserve"> </w:t>
      </w:r>
      <w:r w:rsidRPr="007979DE">
        <w:t>of</w:t>
      </w:r>
      <w:r>
        <w:t xml:space="preserve"> </w:t>
      </w:r>
      <w:r w:rsidRPr="007979DE">
        <w:t>the</w:t>
      </w:r>
      <w:r>
        <w:t xml:space="preserve"> </w:t>
      </w:r>
      <w:r w:rsidRPr="007979DE">
        <w:t>General</w:t>
      </w:r>
      <w:r>
        <w:t xml:space="preserve"> </w:t>
      </w:r>
      <w:r w:rsidRPr="007979DE">
        <w:t>Counsel</w:t>
      </w:r>
      <w:r>
        <w:t xml:space="preserve"> </w:t>
      </w:r>
      <w:r w:rsidRPr="007979DE">
        <w:t>at</w:t>
      </w:r>
      <w:r>
        <w:t xml:space="preserve"> </w:t>
      </w:r>
      <w:r w:rsidRPr="007979DE">
        <w:t>(617)287</w:t>
      </w:r>
      <w:r w:rsidRPr="007979DE">
        <w:rPr>
          <w:rFonts w:ascii="Cambria Math" w:hAnsi="Cambria Math" w:cs="Cambria Math"/>
        </w:rPr>
        <w:t>‐</w:t>
      </w:r>
      <w:r w:rsidRPr="007979DE">
        <w:t>4064</w:t>
      </w:r>
      <w:r>
        <w:t xml:space="preserve"> </w:t>
      </w:r>
      <w:r w:rsidRPr="007979DE">
        <w:t>if</w:t>
      </w:r>
      <w:r>
        <w:t xml:space="preserve"> </w:t>
      </w:r>
      <w:r w:rsidRPr="007979DE">
        <w:t>you</w:t>
      </w:r>
      <w:r>
        <w:t xml:space="preserve"> </w:t>
      </w:r>
      <w:r w:rsidRPr="007979DE">
        <w:t>have questions regarding the topics discussed in this memorandum.</w:t>
      </w:r>
    </w:p>
    <w:sectPr w:rsidR="007979DE" w:rsidRPr="007979DE">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3A6C" w14:textId="77777777" w:rsidR="00890DDD" w:rsidRDefault="00890DDD" w:rsidP="0058676F">
      <w:pPr>
        <w:spacing w:before="0" w:line="240" w:lineRule="auto"/>
      </w:pPr>
      <w:r>
        <w:separator/>
      </w:r>
    </w:p>
  </w:endnote>
  <w:endnote w:type="continuationSeparator" w:id="0">
    <w:p w14:paraId="4CBAE363" w14:textId="77777777" w:rsidR="00890DDD" w:rsidRDefault="00890DDD" w:rsidP="005867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1703576"/>
      <w:docPartObj>
        <w:docPartGallery w:val="Page Numbers (Bottom of Page)"/>
        <w:docPartUnique/>
      </w:docPartObj>
    </w:sdtPr>
    <w:sdtEndPr>
      <w:rPr>
        <w:rStyle w:val="PageNumber"/>
      </w:rPr>
    </w:sdtEndPr>
    <w:sdtContent>
      <w:p w14:paraId="2567DFEF" w14:textId="77777777" w:rsidR="005267DA" w:rsidRDefault="005267DA" w:rsidP="00D93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068DD2" w14:textId="77777777" w:rsidR="005267DA" w:rsidRDefault="005267DA" w:rsidP="005267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259989"/>
      <w:docPartObj>
        <w:docPartGallery w:val="Page Numbers (Bottom of Page)"/>
        <w:docPartUnique/>
      </w:docPartObj>
    </w:sdtPr>
    <w:sdtEndPr>
      <w:rPr>
        <w:rStyle w:val="PageNumber"/>
      </w:rPr>
    </w:sdtEndPr>
    <w:sdtContent>
      <w:p w14:paraId="5F399DD1" w14:textId="77777777" w:rsidR="005267DA" w:rsidRDefault="005267DA" w:rsidP="00D93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06849BF" w14:textId="77777777" w:rsidR="005267DA" w:rsidRDefault="005267DA" w:rsidP="005267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704E" w14:textId="77777777" w:rsidR="00890DDD" w:rsidRDefault="00890DDD" w:rsidP="0058676F">
      <w:pPr>
        <w:spacing w:before="0" w:line="240" w:lineRule="auto"/>
      </w:pPr>
      <w:r>
        <w:separator/>
      </w:r>
    </w:p>
  </w:footnote>
  <w:footnote w:type="continuationSeparator" w:id="0">
    <w:p w14:paraId="7EEC5558" w14:textId="77777777" w:rsidR="00890DDD" w:rsidRDefault="00890DDD" w:rsidP="0058676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D2E"/>
    <w:multiLevelType w:val="hybridMultilevel"/>
    <w:tmpl w:val="2E8046CE"/>
    <w:lvl w:ilvl="0" w:tplc="D2D49C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340EF"/>
    <w:multiLevelType w:val="hybridMultilevel"/>
    <w:tmpl w:val="67162FA6"/>
    <w:lvl w:ilvl="0" w:tplc="61E88A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32C08"/>
    <w:multiLevelType w:val="hybridMultilevel"/>
    <w:tmpl w:val="5E3E08EA"/>
    <w:lvl w:ilvl="0" w:tplc="5C6AC58C">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F5B42"/>
    <w:multiLevelType w:val="hybridMultilevel"/>
    <w:tmpl w:val="7890CC94"/>
    <w:lvl w:ilvl="0" w:tplc="FB5C9A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E2E65"/>
    <w:multiLevelType w:val="hybridMultilevel"/>
    <w:tmpl w:val="AF4A1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727D8"/>
    <w:multiLevelType w:val="hybridMultilevel"/>
    <w:tmpl w:val="AFD04464"/>
    <w:lvl w:ilvl="0" w:tplc="FFFFFFFF">
      <w:start w:val="1"/>
      <w:numFmt w:val="decimal"/>
      <w:lvlText w:val="%1."/>
      <w:lvlJc w:val="left"/>
      <w:pPr>
        <w:ind w:left="720" w:hanging="360"/>
      </w:pPr>
    </w:lvl>
    <w:lvl w:ilvl="1" w:tplc="FB1ABDDC">
      <w:start w:val="1"/>
      <w:numFmt w:val="lowerLetter"/>
      <w:lvlText w:val="%2."/>
      <w:lvlJc w:val="left"/>
      <w:pPr>
        <w:ind w:left="1440" w:hanging="360"/>
      </w:pPr>
    </w:lvl>
    <w:lvl w:ilvl="2" w:tplc="2F7C38D8">
      <w:start w:val="1"/>
      <w:numFmt w:val="lowerRoman"/>
      <w:lvlText w:val="%3."/>
      <w:lvlJc w:val="right"/>
      <w:pPr>
        <w:ind w:left="2160" w:hanging="180"/>
      </w:pPr>
    </w:lvl>
    <w:lvl w:ilvl="3" w:tplc="2FE6DED8">
      <w:start w:val="1"/>
      <w:numFmt w:val="decimal"/>
      <w:lvlText w:val="%4."/>
      <w:lvlJc w:val="left"/>
      <w:pPr>
        <w:ind w:left="2880" w:hanging="360"/>
      </w:pPr>
    </w:lvl>
    <w:lvl w:ilvl="4" w:tplc="C51EAF80">
      <w:start w:val="1"/>
      <w:numFmt w:val="lowerLetter"/>
      <w:lvlText w:val="%5."/>
      <w:lvlJc w:val="left"/>
      <w:pPr>
        <w:ind w:left="3600" w:hanging="360"/>
      </w:pPr>
    </w:lvl>
    <w:lvl w:ilvl="5" w:tplc="2C74ADCC">
      <w:start w:val="1"/>
      <w:numFmt w:val="lowerRoman"/>
      <w:lvlText w:val="%6."/>
      <w:lvlJc w:val="right"/>
      <w:pPr>
        <w:ind w:left="4320" w:hanging="180"/>
      </w:pPr>
    </w:lvl>
    <w:lvl w:ilvl="6" w:tplc="F21CCA1E">
      <w:start w:val="1"/>
      <w:numFmt w:val="decimal"/>
      <w:lvlText w:val="%7."/>
      <w:lvlJc w:val="left"/>
      <w:pPr>
        <w:ind w:left="5040" w:hanging="360"/>
      </w:pPr>
    </w:lvl>
    <w:lvl w:ilvl="7" w:tplc="7F5C5BDA">
      <w:start w:val="1"/>
      <w:numFmt w:val="lowerLetter"/>
      <w:lvlText w:val="%8."/>
      <w:lvlJc w:val="left"/>
      <w:pPr>
        <w:ind w:left="5760" w:hanging="360"/>
      </w:pPr>
    </w:lvl>
    <w:lvl w:ilvl="8" w:tplc="4E7C48B0">
      <w:start w:val="1"/>
      <w:numFmt w:val="lowerRoman"/>
      <w:lvlText w:val="%9."/>
      <w:lvlJc w:val="right"/>
      <w:pPr>
        <w:ind w:left="6480" w:hanging="180"/>
      </w:pPr>
    </w:lvl>
  </w:abstractNum>
  <w:abstractNum w:abstractNumId="6" w15:restartNumberingAfterBreak="0">
    <w:nsid w:val="38067F5D"/>
    <w:multiLevelType w:val="hybridMultilevel"/>
    <w:tmpl w:val="EBD6165A"/>
    <w:lvl w:ilvl="0" w:tplc="BF34BCD0">
      <w:start w:val="1"/>
      <w:numFmt w:val="bullet"/>
      <w:lvlText w:val="§"/>
      <w:lvlJc w:val="left"/>
      <w:pPr>
        <w:tabs>
          <w:tab w:val="num" w:pos="720"/>
        </w:tabs>
        <w:ind w:left="720" w:hanging="360"/>
      </w:pPr>
      <w:rPr>
        <w:rFonts w:ascii="Wingdings" w:hAnsi="Wingdings" w:hint="default"/>
      </w:rPr>
    </w:lvl>
    <w:lvl w:ilvl="1" w:tplc="177C4DC8" w:tentative="1">
      <w:start w:val="1"/>
      <w:numFmt w:val="bullet"/>
      <w:lvlText w:val="§"/>
      <w:lvlJc w:val="left"/>
      <w:pPr>
        <w:tabs>
          <w:tab w:val="num" w:pos="1440"/>
        </w:tabs>
        <w:ind w:left="1440" w:hanging="360"/>
      </w:pPr>
      <w:rPr>
        <w:rFonts w:ascii="Wingdings" w:hAnsi="Wingdings" w:hint="default"/>
      </w:rPr>
    </w:lvl>
    <w:lvl w:ilvl="2" w:tplc="43BCFD3A" w:tentative="1">
      <w:start w:val="1"/>
      <w:numFmt w:val="bullet"/>
      <w:lvlText w:val="§"/>
      <w:lvlJc w:val="left"/>
      <w:pPr>
        <w:tabs>
          <w:tab w:val="num" w:pos="2160"/>
        </w:tabs>
        <w:ind w:left="2160" w:hanging="360"/>
      </w:pPr>
      <w:rPr>
        <w:rFonts w:ascii="Wingdings" w:hAnsi="Wingdings" w:hint="default"/>
      </w:rPr>
    </w:lvl>
    <w:lvl w:ilvl="3" w:tplc="33BAE23E" w:tentative="1">
      <w:start w:val="1"/>
      <w:numFmt w:val="bullet"/>
      <w:lvlText w:val="§"/>
      <w:lvlJc w:val="left"/>
      <w:pPr>
        <w:tabs>
          <w:tab w:val="num" w:pos="2880"/>
        </w:tabs>
        <w:ind w:left="2880" w:hanging="360"/>
      </w:pPr>
      <w:rPr>
        <w:rFonts w:ascii="Wingdings" w:hAnsi="Wingdings" w:hint="default"/>
      </w:rPr>
    </w:lvl>
    <w:lvl w:ilvl="4" w:tplc="09149846" w:tentative="1">
      <w:start w:val="1"/>
      <w:numFmt w:val="bullet"/>
      <w:lvlText w:val="§"/>
      <w:lvlJc w:val="left"/>
      <w:pPr>
        <w:tabs>
          <w:tab w:val="num" w:pos="3600"/>
        </w:tabs>
        <w:ind w:left="3600" w:hanging="360"/>
      </w:pPr>
      <w:rPr>
        <w:rFonts w:ascii="Wingdings" w:hAnsi="Wingdings" w:hint="default"/>
      </w:rPr>
    </w:lvl>
    <w:lvl w:ilvl="5" w:tplc="20B88070" w:tentative="1">
      <w:start w:val="1"/>
      <w:numFmt w:val="bullet"/>
      <w:lvlText w:val="§"/>
      <w:lvlJc w:val="left"/>
      <w:pPr>
        <w:tabs>
          <w:tab w:val="num" w:pos="4320"/>
        </w:tabs>
        <w:ind w:left="4320" w:hanging="360"/>
      </w:pPr>
      <w:rPr>
        <w:rFonts w:ascii="Wingdings" w:hAnsi="Wingdings" w:hint="default"/>
      </w:rPr>
    </w:lvl>
    <w:lvl w:ilvl="6" w:tplc="D5B890B0" w:tentative="1">
      <w:start w:val="1"/>
      <w:numFmt w:val="bullet"/>
      <w:lvlText w:val="§"/>
      <w:lvlJc w:val="left"/>
      <w:pPr>
        <w:tabs>
          <w:tab w:val="num" w:pos="5040"/>
        </w:tabs>
        <w:ind w:left="5040" w:hanging="360"/>
      </w:pPr>
      <w:rPr>
        <w:rFonts w:ascii="Wingdings" w:hAnsi="Wingdings" w:hint="default"/>
      </w:rPr>
    </w:lvl>
    <w:lvl w:ilvl="7" w:tplc="5B2889C2" w:tentative="1">
      <w:start w:val="1"/>
      <w:numFmt w:val="bullet"/>
      <w:lvlText w:val="§"/>
      <w:lvlJc w:val="left"/>
      <w:pPr>
        <w:tabs>
          <w:tab w:val="num" w:pos="5760"/>
        </w:tabs>
        <w:ind w:left="5760" w:hanging="360"/>
      </w:pPr>
      <w:rPr>
        <w:rFonts w:ascii="Wingdings" w:hAnsi="Wingdings" w:hint="default"/>
      </w:rPr>
    </w:lvl>
    <w:lvl w:ilvl="8" w:tplc="3EA47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E06DB6"/>
    <w:multiLevelType w:val="hybridMultilevel"/>
    <w:tmpl w:val="68AE3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D3392"/>
    <w:multiLevelType w:val="hybridMultilevel"/>
    <w:tmpl w:val="08EA6F44"/>
    <w:lvl w:ilvl="0" w:tplc="C4020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ED3E2"/>
    <w:multiLevelType w:val="hybridMultilevel"/>
    <w:tmpl w:val="F3328238"/>
    <w:lvl w:ilvl="0" w:tplc="0409000F">
      <w:start w:val="1"/>
      <w:numFmt w:val="decimal"/>
      <w:lvlText w:val="%1."/>
      <w:lvlJc w:val="left"/>
      <w:pPr>
        <w:ind w:left="720" w:hanging="360"/>
      </w:pPr>
    </w:lvl>
    <w:lvl w:ilvl="1" w:tplc="100623E8">
      <w:start w:val="1"/>
      <w:numFmt w:val="lowerLetter"/>
      <w:lvlText w:val="%2."/>
      <w:lvlJc w:val="left"/>
      <w:pPr>
        <w:ind w:left="1440" w:hanging="360"/>
      </w:pPr>
    </w:lvl>
    <w:lvl w:ilvl="2" w:tplc="C06C93A2">
      <w:start w:val="1"/>
      <w:numFmt w:val="lowerRoman"/>
      <w:lvlText w:val="%3."/>
      <w:lvlJc w:val="right"/>
      <w:pPr>
        <w:ind w:left="2160" w:hanging="180"/>
      </w:pPr>
    </w:lvl>
    <w:lvl w:ilvl="3" w:tplc="5464DB60">
      <w:start w:val="1"/>
      <w:numFmt w:val="decimal"/>
      <w:lvlText w:val="%4."/>
      <w:lvlJc w:val="left"/>
      <w:pPr>
        <w:ind w:left="2880" w:hanging="360"/>
      </w:pPr>
    </w:lvl>
    <w:lvl w:ilvl="4" w:tplc="6BA6241A">
      <w:start w:val="1"/>
      <w:numFmt w:val="lowerLetter"/>
      <w:lvlText w:val="%5."/>
      <w:lvlJc w:val="left"/>
      <w:pPr>
        <w:ind w:left="3600" w:hanging="360"/>
      </w:pPr>
    </w:lvl>
    <w:lvl w:ilvl="5" w:tplc="4B9E7F1E">
      <w:start w:val="1"/>
      <w:numFmt w:val="lowerRoman"/>
      <w:lvlText w:val="%6."/>
      <w:lvlJc w:val="right"/>
      <w:pPr>
        <w:ind w:left="4320" w:hanging="180"/>
      </w:pPr>
    </w:lvl>
    <w:lvl w:ilvl="6" w:tplc="3078B0E6">
      <w:start w:val="1"/>
      <w:numFmt w:val="decimal"/>
      <w:lvlText w:val="%7."/>
      <w:lvlJc w:val="left"/>
      <w:pPr>
        <w:ind w:left="5040" w:hanging="360"/>
      </w:pPr>
    </w:lvl>
    <w:lvl w:ilvl="7" w:tplc="E8709E86">
      <w:start w:val="1"/>
      <w:numFmt w:val="lowerLetter"/>
      <w:lvlText w:val="%8."/>
      <w:lvlJc w:val="left"/>
      <w:pPr>
        <w:ind w:left="5760" w:hanging="360"/>
      </w:pPr>
    </w:lvl>
    <w:lvl w:ilvl="8" w:tplc="00564AE8">
      <w:start w:val="1"/>
      <w:numFmt w:val="lowerRoman"/>
      <w:lvlText w:val="%9."/>
      <w:lvlJc w:val="right"/>
      <w:pPr>
        <w:ind w:left="6480" w:hanging="180"/>
      </w:pPr>
    </w:lvl>
  </w:abstractNum>
  <w:abstractNum w:abstractNumId="10" w15:restartNumberingAfterBreak="0">
    <w:nsid w:val="5D874E7F"/>
    <w:multiLevelType w:val="hybridMultilevel"/>
    <w:tmpl w:val="ED6CE6CA"/>
    <w:lvl w:ilvl="0" w:tplc="68562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C50B77"/>
    <w:multiLevelType w:val="hybridMultilevel"/>
    <w:tmpl w:val="7FA2C820"/>
    <w:lvl w:ilvl="0" w:tplc="FEBAEC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C32F5"/>
    <w:multiLevelType w:val="hybridMultilevel"/>
    <w:tmpl w:val="267A65BC"/>
    <w:lvl w:ilvl="0" w:tplc="74264C14">
      <w:start w:val="1"/>
      <w:numFmt w:val="bullet"/>
      <w:lvlText w:val="§"/>
      <w:lvlJc w:val="left"/>
      <w:pPr>
        <w:tabs>
          <w:tab w:val="num" w:pos="720"/>
        </w:tabs>
        <w:ind w:left="720" w:hanging="360"/>
      </w:pPr>
      <w:rPr>
        <w:rFonts w:ascii="Wingdings" w:hAnsi="Wingdings" w:hint="default"/>
      </w:rPr>
    </w:lvl>
    <w:lvl w:ilvl="1" w:tplc="2CE824A6">
      <w:start w:val="174"/>
      <w:numFmt w:val="bullet"/>
      <w:lvlText w:val="•"/>
      <w:lvlJc w:val="left"/>
      <w:pPr>
        <w:tabs>
          <w:tab w:val="num" w:pos="1440"/>
        </w:tabs>
        <w:ind w:left="1440" w:hanging="360"/>
      </w:pPr>
      <w:rPr>
        <w:rFonts w:ascii="Arial" w:hAnsi="Arial" w:hint="default"/>
      </w:rPr>
    </w:lvl>
    <w:lvl w:ilvl="2" w:tplc="5748B8B8" w:tentative="1">
      <w:start w:val="1"/>
      <w:numFmt w:val="bullet"/>
      <w:lvlText w:val="§"/>
      <w:lvlJc w:val="left"/>
      <w:pPr>
        <w:tabs>
          <w:tab w:val="num" w:pos="2160"/>
        </w:tabs>
        <w:ind w:left="2160" w:hanging="360"/>
      </w:pPr>
      <w:rPr>
        <w:rFonts w:ascii="Wingdings" w:hAnsi="Wingdings" w:hint="default"/>
      </w:rPr>
    </w:lvl>
    <w:lvl w:ilvl="3" w:tplc="F404049A" w:tentative="1">
      <w:start w:val="1"/>
      <w:numFmt w:val="bullet"/>
      <w:lvlText w:val="§"/>
      <w:lvlJc w:val="left"/>
      <w:pPr>
        <w:tabs>
          <w:tab w:val="num" w:pos="2880"/>
        </w:tabs>
        <w:ind w:left="2880" w:hanging="360"/>
      </w:pPr>
      <w:rPr>
        <w:rFonts w:ascii="Wingdings" w:hAnsi="Wingdings" w:hint="default"/>
      </w:rPr>
    </w:lvl>
    <w:lvl w:ilvl="4" w:tplc="FE9C72E6" w:tentative="1">
      <w:start w:val="1"/>
      <w:numFmt w:val="bullet"/>
      <w:lvlText w:val="§"/>
      <w:lvlJc w:val="left"/>
      <w:pPr>
        <w:tabs>
          <w:tab w:val="num" w:pos="3600"/>
        </w:tabs>
        <w:ind w:left="3600" w:hanging="360"/>
      </w:pPr>
      <w:rPr>
        <w:rFonts w:ascii="Wingdings" w:hAnsi="Wingdings" w:hint="default"/>
      </w:rPr>
    </w:lvl>
    <w:lvl w:ilvl="5" w:tplc="6CD6DECE" w:tentative="1">
      <w:start w:val="1"/>
      <w:numFmt w:val="bullet"/>
      <w:lvlText w:val="§"/>
      <w:lvlJc w:val="left"/>
      <w:pPr>
        <w:tabs>
          <w:tab w:val="num" w:pos="4320"/>
        </w:tabs>
        <w:ind w:left="4320" w:hanging="360"/>
      </w:pPr>
      <w:rPr>
        <w:rFonts w:ascii="Wingdings" w:hAnsi="Wingdings" w:hint="default"/>
      </w:rPr>
    </w:lvl>
    <w:lvl w:ilvl="6" w:tplc="443AF250" w:tentative="1">
      <w:start w:val="1"/>
      <w:numFmt w:val="bullet"/>
      <w:lvlText w:val="§"/>
      <w:lvlJc w:val="left"/>
      <w:pPr>
        <w:tabs>
          <w:tab w:val="num" w:pos="5040"/>
        </w:tabs>
        <w:ind w:left="5040" w:hanging="360"/>
      </w:pPr>
      <w:rPr>
        <w:rFonts w:ascii="Wingdings" w:hAnsi="Wingdings" w:hint="default"/>
      </w:rPr>
    </w:lvl>
    <w:lvl w:ilvl="7" w:tplc="7C122C58" w:tentative="1">
      <w:start w:val="1"/>
      <w:numFmt w:val="bullet"/>
      <w:lvlText w:val="§"/>
      <w:lvlJc w:val="left"/>
      <w:pPr>
        <w:tabs>
          <w:tab w:val="num" w:pos="5760"/>
        </w:tabs>
        <w:ind w:left="5760" w:hanging="360"/>
      </w:pPr>
      <w:rPr>
        <w:rFonts w:ascii="Wingdings" w:hAnsi="Wingdings" w:hint="default"/>
      </w:rPr>
    </w:lvl>
    <w:lvl w:ilvl="8" w:tplc="8FA88E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D74869"/>
    <w:multiLevelType w:val="hybridMultilevel"/>
    <w:tmpl w:val="D5C20A0E"/>
    <w:lvl w:ilvl="0" w:tplc="361416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422596">
    <w:abstractNumId w:val="5"/>
  </w:num>
  <w:num w:numId="2" w16cid:durableId="1487278216">
    <w:abstractNumId w:val="5"/>
  </w:num>
  <w:num w:numId="3" w16cid:durableId="816537570">
    <w:abstractNumId w:val="5"/>
  </w:num>
  <w:num w:numId="4" w16cid:durableId="269512771">
    <w:abstractNumId w:val="5"/>
  </w:num>
  <w:num w:numId="5" w16cid:durableId="1215892897">
    <w:abstractNumId w:val="9"/>
  </w:num>
  <w:num w:numId="6" w16cid:durableId="1111778805">
    <w:abstractNumId w:val="6"/>
  </w:num>
  <w:num w:numId="7" w16cid:durableId="1599679934">
    <w:abstractNumId w:val="12"/>
  </w:num>
  <w:num w:numId="8" w16cid:durableId="1703361286">
    <w:abstractNumId w:val="8"/>
  </w:num>
  <w:num w:numId="9" w16cid:durableId="1416630762">
    <w:abstractNumId w:val="10"/>
  </w:num>
  <w:num w:numId="10" w16cid:durableId="294915488">
    <w:abstractNumId w:val="4"/>
  </w:num>
  <w:num w:numId="11" w16cid:durableId="1948268498">
    <w:abstractNumId w:val="7"/>
  </w:num>
  <w:num w:numId="12" w16cid:durableId="1231883467">
    <w:abstractNumId w:val="13"/>
  </w:num>
  <w:num w:numId="13" w16cid:durableId="267469493">
    <w:abstractNumId w:val="11"/>
  </w:num>
  <w:num w:numId="14" w16cid:durableId="321204914">
    <w:abstractNumId w:val="0"/>
  </w:num>
  <w:num w:numId="15" w16cid:durableId="1887638732">
    <w:abstractNumId w:val="3"/>
  </w:num>
  <w:num w:numId="16" w16cid:durableId="662585371">
    <w:abstractNumId w:val="2"/>
  </w:num>
  <w:num w:numId="17" w16cid:durableId="1305040309">
    <w:abstractNumId w:val="2"/>
    <w:lvlOverride w:ilvl="0">
      <w:startOverride w:val="1"/>
    </w:lvlOverride>
  </w:num>
  <w:num w:numId="18" w16cid:durableId="28835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DD"/>
    <w:rsid w:val="00027DBA"/>
    <w:rsid w:val="000E1A7E"/>
    <w:rsid w:val="000F38A6"/>
    <w:rsid w:val="00125223"/>
    <w:rsid w:val="00134CED"/>
    <w:rsid w:val="00154E7E"/>
    <w:rsid w:val="001A671C"/>
    <w:rsid w:val="001C53DB"/>
    <w:rsid w:val="001C68A8"/>
    <w:rsid w:val="002015E5"/>
    <w:rsid w:val="00220DBA"/>
    <w:rsid w:val="00244DC9"/>
    <w:rsid w:val="0025429A"/>
    <w:rsid w:val="002668C4"/>
    <w:rsid w:val="002916E6"/>
    <w:rsid w:val="002E21E0"/>
    <w:rsid w:val="00324A8E"/>
    <w:rsid w:val="0033698B"/>
    <w:rsid w:val="003517A8"/>
    <w:rsid w:val="003B1390"/>
    <w:rsid w:val="003B27B2"/>
    <w:rsid w:val="003B5F51"/>
    <w:rsid w:val="003C1BC4"/>
    <w:rsid w:val="003C3689"/>
    <w:rsid w:val="003C4EFD"/>
    <w:rsid w:val="003E3E42"/>
    <w:rsid w:val="003F7F24"/>
    <w:rsid w:val="00453150"/>
    <w:rsid w:val="00473AD9"/>
    <w:rsid w:val="004867FB"/>
    <w:rsid w:val="005267DA"/>
    <w:rsid w:val="00562E5B"/>
    <w:rsid w:val="0056580D"/>
    <w:rsid w:val="0058676F"/>
    <w:rsid w:val="005B7A20"/>
    <w:rsid w:val="005D5ECC"/>
    <w:rsid w:val="00617A1C"/>
    <w:rsid w:val="006219AF"/>
    <w:rsid w:val="00630DF2"/>
    <w:rsid w:val="006E775D"/>
    <w:rsid w:val="006F05C0"/>
    <w:rsid w:val="007157B0"/>
    <w:rsid w:val="00737743"/>
    <w:rsid w:val="00782A31"/>
    <w:rsid w:val="007979DE"/>
    <w:rsid w:val="008264EE"/>
    <w:rsid w:val="00860C52"/>
    <w:rsid w:val="00890DDD"/>
    <w:rsid w:val="008C5179"/>
    <w:rsid w:val="008F033C"/>
    <w:rsid w:val="00924A97"/>
    <w:rsid w:val="009941CC"/>
    <w:rsid w:val="009A41AB"/>
    <w:rsid w:val="009C5CBB"/>
    <w:rsid w:val="009F19A0"/>
    <w:rsid w:val="00A234FD"/>
    <w:rsid w:val="00A3416E"/>
    <w:rsid w:val="00A55D65"/>
    <w:rsid w:val="00AC6123"/>
    <w:rsid w:val="00AE26EA"/>
    <w:rsid w:val="00AF293D"/>
    <w:rsid w:val="00AF63D0"/>
    <w:rsid w:val="00B01046"/>
    <w:rsid w:val="00B0555D"/>
    <w:rsid w:val="00B55F06"/>
    <w:rsid w:val="00BB416F"/>
    <w:rsid w:val="00BF02E7"/>
    <w:rsid w:val="00C15BD6"/>
    <w:rsid w:val="00C24568"/>
    <w:rsid w:val="00C3759D"/>
    <w:rsid w:val="00D33171"/>
    <w:rsid w:val="00D523F0"/>
    <w:rsid w:val="00D7142D"/>
    <w:rsid w:val="00E33F4B"/>
    <w:rsid w:val="00E704E8"/>
    <w:rsid w:val="00ED2DB4"/>
    <w:rsid w:val="00EE75F2"/>
    <w:rsid w:val="00EF2212"/>
    <w:rsid w:val="00EF6FD3"/>
    <w:rsid w:val="00F65D01"/>
    <w:rsid w:val="00FD179E"/>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EAD6"/>
  <w15:chartTrackingRefBased/>
  <w15:docId w15:val="{538C0830-AB1E-4B24-9B80-4329923F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8B"/>
    <w:pPr>
      <w:spacing w:before="240" w:line="259" w:lineRule="auto"/>
    </w:pPr>
    <w:rPr>
      <w:rFonts w:ascii="Verdana" w:hAnsi="Verdana" w:cstheme="minorHAnsi"/>
      <w:szCs w:val="22"/>
    </w:rPr>
  </w:style>
  <w:style w:type="paragraph" w:styleId="Heading1">
    <w:name w:val="heading 1"/>
    <w:basedOn w:val="Normal"/>
    <w:next w:val="Normal"/>
    <w:link w:val="Heading1Char"/>
    <w:autoRedefine/>
    <w:uiPriority w:val="9"/>
    <w:qFormat/>
    <w:rsid w:val="008F033C"/>
    <w:pPr>
      <w:keepNext/>
      <w:keepLines/>
      <w:spacing w:before="1280" w:line="240" w:lineRule="auto"/>
      <w:outlineLvl w:val="0"/>
    </w:pPr>
    <w:rPr>
      <w:rFonts w:eastAsiaTheme="majorEastAsia" w:cs="Times New Roman (Headings CS)"/>
      <w:b/>
      <w:bCs/>
      <w:color w:val="005DB8"/>
      <w:spacing w:val="20"/>
      <w:sz w:val="72"/>
      <w:szCs w:val="72"/>
    </w:rPr>
  </w:style>
  <w:style w:type="paragraph" w:styleId="Heading2">
    <w:name w:val="heading 2"/>
    <w:basedOn w:val="Normal"/>
    <w:next w:val="Normal"/>
    <w:link w:val="Heading2Char"/>
    <w:autoRedefine/>
    <w:uiPriority w:val="9"/>
    <w:unhideWhenUsed/>
    <w:qFormat/>
    <w:rsid w:val="008F033C"/>
    <w:pPr>
      <w:keepNext/>
      <w:keepLines/>
      <w:spacing w:before="120" w:after="120" w:line="240" w:lineRule="auto"/>
      <w:outlineLvl w:val="1"/>
    </w:pPr>
    <w:rPr>
      <w:rFonts w:eastAsiaTheme="majorEastAsia" w:cstheme="majorBidi"/>
      <w:b/>
      <w:bCs/>
      <w:color w:val="005DB8"/>
      <w:sz w:val="44"/>
      <w:szCs w:val="26"/>
    </w:rPr>
  </w:style>
  <w:style w:type="paragraph" w:styleId="Heading3">
    <w:name w:val="heading 3"/>
    <w:basedOn w:val="Normal"/>
    <w:next w:val="Normal"/>
    <w:link w:val="Heading3Char"/>
    <w:autoRedefine/>
    <w:uiPriority w:val="9"/>
    <w:unhideWhenUsed/>
    <w:qFormat/>
    <w:rsid w:val="008F033C"/>
    <w:pPr>
      <w:keepNext/>
      <w:keepLines/>
      <w:spacing w:before="120" w:after="120"/>
      <w:outlineLvl w:val="2"/>
    </w:pPr>
    <w:rPr>
      <w:rFonts w:eastAsiaTheme="majorEastAsia" w:cstheme="majorBidi"/>
      <w:bCs/>
      <w:sz w:val="36"/>
      <w:u w:val="single"/>
    </w:rPr>
  </w:style>
  <w:style w:type="paragraph" w:styleId="Heading4">
    <w:name w:val="heading 4"/>
    <w:basedOn w:val="Normal"/>
    <w:next w:val="Normal"/>
    <w:link w:val="Heading4Char"/>
    <w:autoRedefine/>
    <w:uiPriority w:val="9"/>
    <w:unhideWhenUsed/>
    <w:qFormat/>
    <w:rsid w:val="002015E5"/>
    <w:pPr>
      <w:keepNext/>
      <w:keepLines/>
      <w:numPr>
        <w:numId w:val="16"/>
      </w:numPr>
      <w:spacing w:before="120" w:after="120"/>
      <w:outlineLvl w:val="3"/>
    </w:pPr>
    <w:rPr>
      <w:bCs/>
      <w:iCs/>
      <w:color w:val="005DB8"/>
      <w:sz w:val="28"/>
      <w:u w:val="single"/>
    </w:rPr>
  </w:style>
  <w:style w:type="paragraph" w:styleId="Heading5">
    <w:name w:val="heading 5"/>
    <w:basedOn w:val="Normal"/>
    <w:next w:val="Normal"/>
    <w:link w:val="Heading5Char"/>
    <w:autoRedefine/>
    <w:uiPriority w:val="9"/>
    <w:unhideWhenUsed/>
    <w:qFormat/>
    <w:rsid w:val="006219AF"/>
    <w:pPr>
      <w:keepNext/>
      <w:keepLines/>
      <w:spacing w:before="80" w:after="40"/>
      <w:outlineLvl w:val="4"/>
    </w:pPr>
    <w:rPr>
      <w:rFonts w:eastAsiaTheme="majorEastAsia" w:cstheme="majorBidi"/>
      <w:bCs/>
      <w:color w:val="000000" w:themeColor="text1"/>
      <w:sz w:val="28"/>
      <w:u w:val="single"/>
    </w:rPr>
  </w:style>
  <w:style w:type="paragraph" w:styleId="Heading6">
    <w:name w:val="heading 6"/>
    <w:basedOn w:val="Normal"/>
    <w:next w:val="Normal"/>
    <w:link w:val="Heading6Char"/>
    <w:autoRedefine/>
    <w:uiPriority w:val="9"/>
    <w:semiHidden/>
    <w:unhideWhenUsed/>
    <w:qFormat/>
    <w:rsid w:val="005B7A20"/>
    <w:pPr>
      <w:keepNext/>
      <w:keepLines/>
      <w:spacing w:before="40"/>
      <w:outlineLvl w:val="5"/>
    </w:pPr>
    <w:rPr>
      <w:rFonts w:eastAsiaTheme="majorEastAsia" w:cstheme="majorBidi"/>
      <w:b/>
      <w:i/>
      <w:iCs/>
      <w:color w:val="005EB8" w:themeColor="accent1"/>
    </w:rPr>
  </w:style>
  <w:style w:type="paragraph" w:styleId="Heading7">
    <w:name w:val="heading 7"/>
    <w:basedOn w:val="Normal"/>
    <w:next w:val="Normal"/>
    <w:link w:val="Heading7Char"/>
    <w:uiPriority w:val="9"/>
    <w:semiHidden/>
    <w:unhideWhenUsed/>
    <w:qFormat/>
    <w:rsid w:val="003369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698B"/>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698B"/>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33C"/>
    <w:rPr>
      <w:rFonts w:ascii="Verdana" w:eastAsiaTheme="majorEastAsia" w:hAnsi="Verdana" w:cstheme="majorBidi"/>
      <w:b/>
      <w:bCs/>
      <w:color w:val="005DB8"/>
      <w:sz w:val="44"/>
      <w:szCs w:val="26"/>
    </w:rPr>
  </w:style>
  <w:style w:type="character" w:customStyle="1" w:styleId="Heading3Char">
    <w:name w:val="Heading 3 Char"/>
    <w:basedOn w:val="DefaultParagraphFont"/>
    <w:link w:val="Heading3"/>
    <w:uiPriority w:val="9"/>
    <w:rsid w:val="008F033C"/>
    <w:rPr>
      <w:rFonts w:ascii="Verdana" w:eastAsiaTheme="majorEastAsia" w:hAnsi="Verdana" w:cstheme="majorBidi"/>
      <w:bCs/>
      <w:sz w:val="36"/>
      <w:szCs w:val="22"/>
      <w:u w:val="single"/>
    </w:rPr>
  </w:style>
  <w:style w:type="character" w:customStyle="1" w:styleId="Heading4Char">
    <w:name w:val="Heading 4 Char"/>
    <w:basedOn w:val="DefaultParagraphFont"/>
    <w:link w:val="Heading4"/>
    <w:uiPriority w:val="9"/>
    <w:rsid w:val="002015E5"/>
    <w:rPr>
      <w:rFonts w:ascii="Verdana" w:hAnsi="Verdana" w:cstheme="minorHAnsi"/>
      <w:bCs/>
      <w:iCs/>
      <w:color w:val="005DB8"/>
      <w:sz w:val="28"/>
      <w:szCs w:val="22"/>
      <w:u w:val="single"/>
    </w:rPr>
  </w:style>
  <w:style w:type="character" w:customStyle="1" w:styleId="Heading1Char">
    <w:name w:val="Heading 1 Char"/>
    <w:basedOn w:val="DefaultParagraphFont"/>
    <w:link w:val="Heading1"/>
    <w:uiPriority w:val="9"/>
    <w:rsid w:val="008F033C"/>
    <w:rPr>
      <w:rFonts w:ascii="Verdana" w:eastAsiaTheme="majorEastAsia" w:hAnsi="Verdana" w:cs="Times New Roman (Headings CS)"/>
      <w:b/>
      <w:bCs/>
      <w:color w:val="005DB8"/>
      <w:spacing w:val="20"/>
      <w:sz w:val="72"/>
      <w:szCs w:val="72"/>
    </w:rPr>
  </w:style>
  <w:style w:type="character" w:customStyle="1" w:styleId="Heading5Char">
    <w:name w:val="Heading 5 Char"/>
    <w:basedOn w:val="DefaultParagraphFont"/>
    <w:link w:val="Heading5"/>
    <w:uiPriority w:val="9"/>
    <w:rsid w:val="006219AF"/>
    <w:rPr>
      <w:rFonts w:ascii="Verdana" w:eastAsiaTheme="majorEastAsia" w:hAnsi="Verdana" w:cstheme="majorBidi"/>
      <w:bCs/>
      <w:color w:val="000000" w:themeColor="text1"/>
      <w:sz w:val="28"/>
      <w:szCs w:val="22"/>
      <w:u w:val="single"/>
    </w:rPr>
  </w:style>
  <w:style w:type="paragraph" w:styleId="ListParagraph">
    <w:name w:val="List Paragraph"/>
    <w:basedOn w:val="Normal"/>
    <w:autoRedefine/>
    <w:uiPriority w:val="34"/>
    <w:qFormat/>
    <w:rsid w:val="006219AF"/>
    <w:pPr>
      <w:numPr>
        <w:numId w:val="18"/>
      </w:numPr>
      <w:spacing w:before="0" w:after="180" w:line="240" w:lineRule="auto"/>
      <w:contextualSpacing/>
    </w:pPr>
    <w:rPr>
      <w:rFonts w:cstheme="minorBidi"/>
      <w:color w:val="0E2841" w:themeColor="text2"/>
    </w:rPr>
  </w:style>
  <w:style w:type="character" w:customStyle="1" w:styleId="Heading6Char">
    <w:name w:val="Heading 6 Char"/>
    <w:basedOn w:val="DefaultParagraphFont"/>
    <w:link w:val="Heading6"/>
    <w:uiPriority w:val="9"/>
    <w:semiHidden/>
    <w:rsid w:val="005B7A20"/>
    <w:rPr>
      <w:rFonts w:ascii="Verdana" w:eastAsiaTheme="majorEastAsia" w:hAnsi="Verdana" w:cstheme="majorBidi"/>
      <w:b/>
      <w:i/>
      <w:iCs/>
      <w:color w:val="005EB8" w:themeColor="accent1"/>
      <w:szCs w:val="22"/>
    </w:rPr>
  </w:style>
  <w:style w:type="character" w:customStyle="1" w:styleId="Heading7Char">
    <w:name w:val="Heading 7 Char"/>
    <w:basedOn w:val="DefaultParagraphFont"/>
    <w:link w:val="Heading7"/>
    <w:uiPriority w:val="9"/>
    <w:semiHidden/>
    <w:rsid w:val="0033698B"/>
    <w:rPr>
      <w:rFonts w:eastAsiaTheme="majorEastAsia" w:cstheme="majorBidi"/>
      <w:color w:val="595959" w:themeColor="text1" w:themeTint="A6"/>
      <w:szCs w:val="22"/>
    </w:rPr>
  </w:style>
  <w:style w:type="character" w:customStyle="1" w:styleId="Heading8Char">
    <w:name w:val="Heading 8 Char"/>
    <w:basedOn w:val="DefaultParagraphFont"/>
    <w:link w:val="Heading8"/>
    <w:uiPriority w:val="9"/>
    <w:semiHidden/>
    <w:rsid w:val="0033698B"/>
    <w:rPr>
      <w:rFonts w:eastAsiaTheme="majorEastAsia" w:cstheme="majorBidi"/>
      <w:i/>
      <w:iCs/>
      <w:color w:val="272727" w:themeColor="text1" w:themeTint="D8"/>
      <w:szCs w:val="22"/>
    </w:rPr>
  </w:style>
  <w:style w:type="character" w:customStyle="1" w:styleId="Heading9Char">
    <w:name w:val="Heading 9 Char"/>
    <w:basedOn w:val="DefaultParagraphFont"/>
    <w:link w:val="Heading9"/>
    <w:uiPriority w:val="9"/>
    <w:semiHidden/>
    <w:rsid w:val="0033698B"/>
    <w:rPr>
      <w:rFonts w:eastAsiaTheme="majorEastAsia" w:cstheme="majorBidi"/>
      <w:color w:val="272727" w:themeColor="text1" w:themeTint="D8"/>
      <w:szCs w:val="22"/>
    </w:rPr>
  </w:style>
  <w:style w:type="paragraph" w:styleId="Title">
    <w:name w:val="Title"/>
    <w:basedOn w:val="Normal"/>
    <w:next w:val="Normal"/>
    <w:link w:val="TitleChar"/>
    <w:uiPriority w:val="10"/>
    <w:qFormat/>
    <w:rsid w:val="0033698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9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9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698B"/>
    <w:rPr>
      <w:rFonts w:ascii="Verdana" w:hAnsi="Verdana" w:cstheme="minorHAnsi"/>
      <w:i/>
      <w:iCs/>
      <w:color w:val="404040" w:themeColor="text1" w:themeTint="BF"/>
      <w:szCs w:val="22"/>
    </w:rPr>
  </w:style>
  <w:style w:type="character" w:styleId="IntenseEmphasis">
    <w:name w:val="Intense Emphasis"/>
    <w:basedOn w:val="DefaultParagraphFont"/>
    <w:uiPriority w:val="21"/>
    <w:qFormat/>
    <w:rsid w:val="0033698B"/>
    <w:rPr>
      <w:i/>
      <w:iCs/>
      <w:color w:val="004689" w:themeColor="accent1" w:themeShade="BF"/>
    </w:rPr>
  </w:style>
  <w:style w:type="paragraph" w:styleId="IntenseQuote">
    <w:name w:val="Intense Quote"/>
    <w:basedOn w:val="Normal"/>
    <w:next w:val="Normal"/>
    <w:link w:val="IntenseQuoteChar"/>
    <w:uiPriority w:val="30"/>
    <w:qFormat/>
    <w:rsid w:val="0033698B"/>
    <w:pPr>
      <w:pBdr>
        <w:top w:val="single" w:sz="4" w:space="10" w:color="004689" w:themeColor="accent1" w:themeShade="BF"/>
        <w:bottom w:val="single" w:sz="4" w:space="10" w:color="004689" w:themeColor="accent1" w:themeShade="BF"/>
      </w:pBdr>
      <w:spacing w:before="360" w:after="360"/>
      <w:ind w:left="864" w:right="864"/>
      <w:jc w:val="center"/>
    </w:pPr>
    <w:rPr>
      <w:i/>
      <w:iCs/>
      <w:color w:val="004689" w:themeColor="accent1" w:themeShade="BF"/>
    </w:rPr>
  </w:style>
  <w:style w:type="character" w:customStyle="1" w:styleId="IntenseQuoteChar">
    <w:name w:val="Intense Quote Char"/>
    <w:basedOn w:val="DefaultParagraphFont"/>
    <w:link w:val="IntenseQuote"/>
    <w:uiPriority w:val="30"/>
    <w:rsid w:val="0033698B"/>
    <w:rPr>
      <w:rFonts w:ascii="Verdana" w:hAnsi="Verdana" w:cstheme="minorHAnsi"/>
      <w:i/>
      <w:iCs/>
      <w:color w:val="004689" w:themeColor="accent1" w:themeShade="BF"/>
      <w:szCs w:val="22"/>
    </w:rPr>
  </w:style>
  <w:style w:type="character" w:styleId="IntenseReference">
    <w:name w:val="Intense Reference"/>
    <w:basedOn w:val="DefaultParagraphFont"/>
    <w:uiPriority w:val="32"/>
    <w:qFormat/>
    <w:rsid w:val="0033698B"/>
    <w:rPr>
      <w:b/>
      <w:bCs/>
      <w:smallCaps/>
      <w:color w:val="004689" w:themeColor="accent1" w:themeShade="BF"/>
      <w:spacing w:val="5"/>
    </w:rPr>
  </w:style>
  <w:style w:type="paragraph" w:styleId="Header">
    <w:name w:val="header"/>
    <w:basedOn w:val="Normal"/>
    <w:link w:val="HeaderChar"/>
    <w:uiPriority w:val="99"/>
    <w:unhideWhenUsed/>
    <w:rsid w:val="0058676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8676F"/>
    <w:rPr>
      <w:rFonts w:ascii="Verdana" w:hAnsi="Verdana" w:cstheme="minorHAnsi"/>
      <w:szCs w:val="22"/>
    </w:rPr>
  </w:style>
  <w:style w:type="paragraph" w:styleId="Footer">
    <w:name w:val="footer"/>
    <w:basedOn w:val="Normal"/>
    <w:link w:val="FooterChar"/>
    <w:uiPriority w:val="99"/>
    <w:unhideWhenUsed/>
    <w:rsid w:val="0058676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8676F"/>
    <w:rPr>
      <w:rFonts w:ascii="Verdana" w:hAnsi="Verdana" w:cstheme="minorHAnsi"/>
      <w:szCs w:val="22"/>
    </w:rPr>
  </w:style>
  <w:style w:type="table" w:styleId="TableGrid">
    <w:name w:val="Table Grid"/>
    <w:basedOn w:val="TableNormal"/>
    <w:uiPriority w:val="39"/>
    <w:rsid w:val="001C6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DF2"/>
    <w:rPr>
      <w:color w:val="0000FF" w:themeColor="hyperlink"/>
      <w:u w:val="single"/>
    </w:rPr>
  </w:style>
  <w:style w:type="character" w:styleId="UnresolvedMention">
    <w:name w:val="Unresolved Mention"/>
    <w:basedOn w:val="DefaultParagraphFont"/>
    <w:uiPriority w:val="99"/>
    <w:semiHidden/>
    <w:unhideWhenUsed/>
    <w:rsid w:val="00630DF2"/>
    <w:rPr>
      <w:color w:val="605E5C"/>
      <w:shd w:val="clear" w:color="auto" w:fill="E1DFDD"/>
    </w:rPr>
  </w:style>
  <w:style w:type="paragraph" w:styleId="TOCHeading">
    <w:name w:val="TOC Heading"/>
    <w:basedOn w:val="Heading1"/>
    <w:next w:val="Normal"/>
    <w:uiPriority w:val="39"/>
    <w:unhideWhenUsed/>
    <w:qFormat/>
    <w:rsid w:val="00244DC9"/>
    <w:pPr>
      <w:spacing w:before="480" w:line="276" w:lineRule="auto"/>
      <w:outlineLvl w:val="9"/>
    </w:pPr>
    <w:rPr>
      <w:rFonts w:asciiTheme="majorHAnsi" w:hAnsiTheme="majorHAnsi" w:cstheme="majorBidi"/>
      <w:color w:val="004689" w:themeColor="accent1" w:themeShade="BF"/>
      <w:spacing w:val="0"/>
      <w:sz w:val="28"/>
    </w:rPr>
  </w:style>
  <w:style w:type="paragraph" w:styleId="TOC1">
    <w:name w:val="toc 1"/>
    <w:basedOn w:val="Normal"/>
    <w:next w:val="Normal"/>
    <w:autoRedefine/>
    <w:uiPriority w:val="39"/>
    <w:unhideWhenUsed/>
    <w:rsid w:val="00244DC9"/>
    <w:pPr>
      <w:spacing w:before="360"/>
    </w:pPr>
    <w:rPr>
      <w:rFonts w:asciiTheme="majorHAnsi" w:hAnsiTheme="majorHAnsi"/>
      <w:b/>
      <w:bCs/>
      <w:caps/>
      <w:szCs w:val="24"/>
    </w:rPr>
  </w:style>
  <w:style w:type="paragraph" w:styleId="TOC2">
    <w:name w:val="toc 2"/>
    <w:basedOn w:val="Normal"/>
    <w:next w:val="Normal"/>
    <w:autoRedefine/>
    <w:uiPriority w:val="39"/>
    <w:unhideWhenUsed/>
    <w:rsid w:val="00244DC9"/>
    <w:rPr>
      <w:rFonts w:asciiTheme="minorHAnsi" w:hAnsiTheme="minorHAnsi"/>
      <w:b/>
      <w:bCs/>
      <w:sz w:val="20"/>
      <w:szCs w:val="20"/>
    </w:rPr>
  </w:style>
  <w:style w:type="paragraph" w:styleId="TOC3">
    <w:name w:val="toc 3"/>
    <w:basedOn w:val="Normal"/>
    <w:next w:val="Normal"/>
    <w:autoRedefine/>
    <w:uiPriority w:val="39"/>
    <w:unhideWhenUsed/>
    <w:rsid w:val="00244DC9"/>
    <w:pPr>
      <w:spacing w:before="0"/>
      <w:ind w:left="240"/>
    </w:pPr>
    <w:rPr>
      <w:rFonts w:asciiTheme="minorHAnsi" w:hAnsiTheme="minorHAnsi"/>
      <w:sz w:val="20"/>
      <w:szCs w:val="20"/>
    </w:rPr>
  </w:style>
  <w:style w:type="paragraph" w:styleId="TOC4">
    <w:name w:val="toc 4"/>
    <w:basedOn w:val="Normal"/>
    <w:next w:val="Normal"/>
    <w:autoRedefine/>
    <w:uiPriority w:val="39"/>
    <w:unhideWhenUsed/>
    <w:rsid w:val="00244DC9"/>
    <w:pPr>
      <w:spacing w:before="0"/>
      <w:ind w:left="480"/>
    </w:pPr>
    <w:rPr>
      <w:rFonts w:asciiTheme="minorHAnsi" w:hAnsiTheme="minorHAnsi"/>
      <w:sz w:val="20"/>
      <w:szCs w:val="20"/>
    </w:rPr>
  </w:style>
  <w:style w:type="paragraph" w:styleId="TOC5">
    <w:name w:val="toc 5"/>
    <w:basedOn w:val="Normal"/>
    <w:next w:val="Normal"/>
    <w:autoRedefine/>
    <w:uiPriority w:val="39"/>
    <w:unhideWhenUsed/>
    <w:rsid w:val="00244DC9"/>
    <w:pPr>
      <w:spacing w:before="0"/>
      <w:ind w:left="720"/>
    </w:pPr>
    <w:rPr>
      <w:rFonts w:asciiTheme="minorHAnsi" w:hAnsiTheme="minorHAnsi"/>
      <w:sz w:val="20"/>
      <w:szCs w:val="20"/>
    </w:rPr>
  </w:style>
  <w:style w:type="paragraph" w:styleId="TOC6">
    <w:name w:val="toc 6"/>
    <w:basedOn w:val="Normal"/>
    <w:next w:val="Normal"/>
    <w:autoRedefine/>
    <w:uiPriority w:val="39"/>
    <w:unhideWhenUsed/>
    <w:rsid w:val="00244DC9"/>
    <w:pPr>
      <w:spacing w:before="0"/>
      <w:ind w:left="960"/>
    </w:pPr>
    <w:rPr>
      <w:rFonts w:asciiTheme="minorHAnsi" w:hAnsiTheme="minorHAnsi"/>
      <w:sz w:val="20"/>
      <w:szCs w:val="20"/>
    </w:rPr>
  </w:style>
  <w:style w:type="paragraph" w:styleId="TOC7">
    <w:name w:val="toc 7"/>
    <w:basedOn w:val="Normal"/>
    <w:next w:val="Normal"/>
    <w:autoRedefine/>
    <w:uiPriority w:val="39"/>
    <w:unhideWhenUsed/>
    <w:rsid w:val="00244DC9"/>
    <w:pPr>
      <w:spacing w:before="0"/>
      <w:ind w:left="1200"/>
    </w:pPr>
    <w:rPr>
      <w:rFonts w:asciiTheme="minorHAnsi" w:hAnsiTheme="minorHAnsi"/>
      <w:sz w:val="20"/>
      <w:szCs w:val="20"/>
    </w:rPr>
  </w:style>
  <w:style w:type="paragraph" w:styleId="TOC8">
    <w:name w:val="toc 8"/>
    <w:basedOn w:val="Normal"/>
    <w:next w:val="Normal"/>
    <w:autoRedefine/>
    <w:uiPriority w:val="39"/>
    <w:unhideWhenUsed/>
    <w:rsid w:val="00244DC9"/>
    <w:pPr>
      <w:spacing w:before="0"/>
      <w:ind w:left="1440"/>
    </w:pPr>
    <w:rPr>
      <w:rFonts w:asciiTheme="minorHAnsi" w:hAnsiTheme="minorHAnsi"/>
      <w:sz w:val="20"/>
      <w:szCs w:val="20"/>
    </w:rPr>
  </w:style>
  <w:style w:type="paragraph" w:styleId="TOC9">
    <w:name w:val="toc 9"/>
    <w:basedOn w:val="Normal"/>
    <w:next w:val="Normal"/>
    <w:autoRedefine/>
    <w:uiPriority w:val="39"/>
    <w:unhideWhenUsed/>
    <w:rsid w:val="00244DC9"/>
    <w:pPr>
      <w:spacing w:before="0"/>
      <w:ind w:left="1680"/>
    </w:pPr>
    <w:rPr>
      <w:rFonts w:asciiTheme="minorHAnsi" w:hAnsiTheme="minorHAnsi"/>
      <w:sz w:val="20"/>
      <w:szCs w:val="20"/>
    </w:rPr>
  </w:style>
  <w:style w:type="character" w:styleId="PageNumber">
    <w:name w:val="page number"/>
    <w:basedOn w:val="DefaultParagraphFont"/>
    <w:uiPriority w:val="99"/>
    <w:semiHidden/>
    <w:unhideWhenUsed/>
    <w:rsid w:val="005267DA"/>
  </w:style>
  <w:style w:type="paragraph" w:styleId="NormalWeb">
    <w:name w:val="Normal (Web)"/>
    <w:basedOn w:val="Normal"/>
    <w:uiPriority w:val="99"/>
    <w:semiHidden/>
    <w:unhideWhenUsed/>
    <w:rsid w:val="008F033C"/>
    <w:rPr>
      <w:rFonts w:ascii="Times New Roman" w:hAnsi="Times New Roman" w:cs="Times New Roman"/>
      <w:szCs w:val="24"/>
    </w:rPr>
  </w:style>
  <w:style w:type="character" w:styleId="FollowedHyperlink">
    <w:name w:val="FollowedHyperlink"/>
    <w:basedOn w:val="DefaultParagraphFont"/>
    <w:uiPriority w:val="99"/>
    <w:semiHidden/>
    <w:unhideWhenUsed/>
    <w:rsid w:val="007979DE"/>
    <w:rPr>
      <w:color w:val="1681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160">
      <w:bodyDiv w:val="1"/>
      <w:marLeft w:val="0"/>
      <w:marRight w:val="0"/>
      <w:marTop w:val="0"/>
      <w:marBottom w:val="0"/>
      <w:divBdr>
        <w:top w:val="none" w:sz="0" w:space="0" w:color="auto"/>
        <w:left w:val="none" w:sz="0" w:space="0" w:color="auto"/>
        <w:bottom w:val="none" w:sz="0" w:space="0" w:color="auto"/>
        <w:right w:val="none" w:sz="0" w:space="0" w:color="auto"/>
      </w:divBdr>
    </w:div>
    <w:div w:id="28653872">
      <w:bodyDiv w:val="1"/>
      <w:marLeft w:val="0"/>
      <w:marRight w:val="0"/>
      <w:marTop w:val="0"/>
      <w:marBottom w:val="0"/>
      <w:divBdr>
        <w:top w:val="none" w:sz="0" w:space="0" w:color="auto"/>
        <w:left w:val="none" w:sz="0" w:space="0" w:color="auto"/>
        <w:bottom w:val="none" w:sz="0" w:space="0" w:color="auto"/>
        <w:right w:val="none" w:sz="0" w:space="0" w:color="auto"/>
      </w:divBdr>
    </w:div>
    <w:div w:id="205215909">
      <w:bodyDiv w:val="1"/>
      <w:marLeft w:val="0"/>
      <w:marRight w:val="0"/>
      <w:marTop w:val="0"/>
      <w:marBottom w:val="0"/>
      <w:divBdr>
        <w:top w:val="none" w:sz="0" w:space="0" w:color="auto"/>
        <w:left w:val="none" w:sz="0" w:space="0" w:color="auto"/>
        <w:bottom w:val="none" w:sz="0" w:space="0" w:color="auto"/>
        <w:right w:val="none" w:sz="0" w:space="0" w:color="auto"/>
      </w:divBdr>
    </w:div>
    <w:div w:id="444006742">
      <w:bodyDiv w:val="1"/>
      <w:marLeft w:val="0"/>
      <w:marRight w:val="0"/>
      <w:marTop w:val="0"/>
      <w:marBottom w:val="0"/>
      <w:divBdr>
        <w:top w:val="none" w:sz="0" w:space="0" w:color="auto"/>
        <w:left w:val="none" w:sz="0" w:space="0" w:color="auto"/>
        <w:bottom w:val="none" w:sz="0" w:space="0" w:color="auto"/>
        <w:right w:val="none" w:sz="0" w:space="0" w:color="auto"/>
      </w:divBdr>
    </w:div>
    <w:div w:id="463814724">
      <w:bodyDiv w:val="1"/>
      <w:marLeft w:val="0"/>
      <w:marRight w:val="0"/>
      <w:marTop w:val="0"/>
      <w:marBottom w:val="0"/>
      <w:divBdr>
        <w:top w:val="none" w:sz="0" w:space="0" w:color="auto"/>
        <w:left w:val="none" w:sz="0" w:space="0" w:color="auto"/>
        <w:bottom w:val="none" w:sz="0" w:space="0" w:color="auto"/>
        <w:right w:val="none" w:sz="0" w:space="0" w:color="auto"/>
      </w:divBdr>
    </w:div>
    <w:div w:id="515115704">
      <w:bodyDiv w:val="1"/>
      <w:marLeft w:val="0"/>
      <w:marRight w:val="0"/>
      <w:marTop w:val="0"/>
      <w:marBottom w:val="0"/>
      <w:divBdr>
        <w:top w:val="none" w:sz="0" w:space="0" w:color="auto"/>
        <w:left w:val="none" w:sz="0" w:space="0" w:color="auto"/>
        <w:bottom w:val="none" w:sz="0" w:space="0" w:color="auto"/>
        <w:right w:val="none" w:sz="0" w:space="0" w:color="auto"/>
      </w:divBdr>
    </w:div>
    <w:div w:id="548154952">
      <w:bodyDiv w:val="1"/>
      <w:marLeft w:val="0"/>
      <w:marRight w:val="0"/>
      <w:marTop w:val="0"/>
      <w:marBottom w:val="0"/>
      <w:divBdr>
        <w:top w:val="none" w:sz="0" w:space="0" w:color="auto"/>
        <w:left w:val="none" w:sz="0" w:space="0" w:color="auto"/>
        <w:bottom w:val="none" w:sz="0" w:space="0" w:color="auto"/>
        <w:right w:val="none" w:sz="0" w:space="0" w:color="auto"/>
      </w:divBdr>
    </w:div>
    <w:div w:id="616452492">
      <w:bodyDiv w:val="1"/>
      <w:marLeft w:val="0"/>
      <w:marRight w:val="0"/>
      <w:marTop w:val="0"/>
      <w:marBottom w:val="0"/>
      <w:divBdr>
        <w:top w:val="none" w:sz="0" w:space="0" w:color="auto"/>
        <w:left w:val="none" w:sz="0" w:space="0" w:color="auto"/>
        <w:bottom w:val="none" w:sz="0" w:space="0" w:color="auto"/>
        <w:right w:val="none" w:sz="0" w:space="0" w:color="auto"/>
      </w:divBdr>
    </w:div>
    <w:div w:id="765805377">
      <w:bodyDiv w:val="1"/>
      <w:marLeft w:val="0"/>
      <w:marRight w:val="0"/>
      <w:marTop w:val="0"/>
      <w:marBottom w:val="0"/>
      <w:divBdr>
        <w:top w:val="none" w:sz="0" w:space="0" w:color="auto"/>
        <w:left w:val="none" w:sz="0" w:space="0" w:color="auto"/>
        <w:bottom w:val="none" w:sz="0" w:space="0" w:color="auto"/>
        <w:right w:val="none" w:sz="0" w:space="0" w:color="auto"/>
      </w:divBdr>
    </w:div>
    <w:div w:id="937447691">
      <w:bodyDiv w:val="1"/>
      <w:marLeft w:val="0"/>
      <w:marRight w:val="0"/>
      <w:marTop w:val="0"/>
      <w:marBottom w:val="0"/>
      <w:divBdr>
        <w:top w:val="none" w:sz="0" w:space="0" w:color="auto"/>
        <w:left w:val="none" w:sz="0" w:space="0" w:color="auto"/>
        <w:bottom w:val="none" w:sz="0" w:space="0" w:color="auto"/>
        <w:right w:val="none" w:sz="0" w:space="0" w:color="auto"/>
      </w:divBdr>
    </w:div>
    <w:div w:id="1114060626">
      <w:bodyDiv w:val="1"/>
      <w:marLeft w:val="0"/>
      <w:marRight w:val="0"/>
      <w:marTop w:val="0"/>
      <w:marBottom w:val="0"/>
      <w:divBdr>
        <w:top w:val="none" w:sz="0" w:space="0" w:color="auto"/>
        <w:left w:val="none" w:sz="0" w:space="0" w:color="auto"/>
        <w:bottom w:val="none" w:sz="0" w:space="0" w:color="auto"/>
        <w:right w:val="none" w:sz="0" w:space="0" w:color="auto"/>
      </w:divBdr>
    </w:div>
    <w:div w:id="1199273053">
      <w:bodyDiv w:val="1"/>
      <w:marLeft w:val="0"/>
      <w:marRight w:val="0"/>
      <w:marTop w:val="0"/>
      <w:marBottom w:val="0"/>
      <w:divBdr>
        <w:top w:val="none" w:sz="0" w:space="0" w:color="auto"/>
        <w:left w:val="none" w:sz="0" w:space="0" w:color="auto"/>
        <w:bottom w:val="none" w:sz="0" w:space="0" w:color="auto"/>
        <w:right w:val="none" w:sz="0" w:space="0" w:color="auto"/>
      </w:divBdr>
      <w:divsChild>
        <w:div w:id="861210726">
          <w:marLeft w:val="360"/>
          <w:marRight w:val="0"/>
          <w:marTop w:val="0"/>
          <w:marBottom w:val="240"/>
          <w:divBdr>
            <w:top w:val="none" w:sz="0" w:space="0" w:color="auto"/>
            <w:left w:val="none" w:sz="0" w:space="0" w:color="auto"/>
            <w:bottom w:val="none" w:sz="0" w:space="0" w:color="auto"/>
            <w:right w:val="none" w:sz="0" w:space="0" w:color="auto"/>
          </w:divBdr>
        </w:div>
      </w:divsChild>
    </w:div>
    <w:div w:id="1264266053">
      <w:bodyDiv w:val="1"/>
      <w:marLeft w:val="0"/>
      <w:marRight w:val="0"/>
      <w:marTop w:val="0"/>
      <w:marBottom w:val="0"/>
      <w:divBdr>
        <w:top w:val="none" w:sz="0" w:space="0" w:color="auto"/>
        <w:left w:val="none" w:sz="0" w:space="0" w:color="auto"/>
        <w:bottom w:val="none" w:sz="0" w:space="0" w:color="auto"/>
        <w:right w:val="none" w:sz="0" w:space="0" w:color="auto"/>
      </w:divBdr>
    </w:div>
    <w:div w:id="1566185942">
      <w:bodyDiv w:val="1"/>
      <w:marLeft w:val="0"/>
      <w:marRight w:val="0"/>
      <w:marTop w:val="0"/>
      <w:marBottom w:val="0"/>
      <w:divBdr>
        <w:top w:val="none" w:sz="0" w:space="0" w:color="auto"/>
        <w:left w:val="none" w:sz="0" w:space="0" w:color="auto"/>
        <w:bottom w:val="none" w:sz="0" w:space="0" w:color="auto"/>
        <w:right w:val="none" w:sz="0" w:space="0" w:color="auto"/>
      </w:divBdr>
    </w:div>
    <w:div w:id="1578173890">
      <w:bodyDiv w:val="1"/>
      <w:marLeft w:val="0"/>
      <w:marRight w:val="0"/>
      <w:marTop w:val="0"/>
      <w:marBottom w:val="0"/>
      <w:divBdr>
        <w:top w:val="none" w:sz="0" w:space="0" w:color="auto"/>
        <w:left w:val="none" w:sz="0" w:space="0" w:color="auto"/>
        <w:bottom w:val="none" w:sz="0" w:space="0" w:color="auto"/>
        <w:right w:val="none" w:sz="0" w:space="0" w:color="auto"/>
      </w:divBdr>
    </w:div>
    <w:div w:id="1578976437">
      <w:bodyDiv w:val="1"/>
      <w:marLeft w:val="0"/>
      <w:marRight w:val="0"/>
      <w:marTop w:val="0"/>
      <w:marBottom w:val="0"/>
      <w:divBdr>
        <w:top w:val="none" w:sz="0" w:space="0" w:color="auto"/>
        <w:left w:val="none" w:sz="0" w:space="0" w:color="auto"/>
        <w:bottom w:val="none" w:sz="0" w:space="0" w:color="auto"/>
        <w:right w:val="none" w:sz="0" w:space="0" w:color="auto"/>
      </w:divBdr>
    </w:div>
    <w:div w:id="1650285099">
      <w:bodyDiv w:val="1"/>
      <w:marLeft w:val="0"/>
      <w:marRight w:val="0"/>
      <w:marTop w:val="0"/>
      <w:marBottom w:val="0"/>
      <w:divBdr>
        <w:top w:val="none" w:sz="0" w:space="0" w:color="auto"/>
        <w:left w:val="none" w:sz="0" w:space="0" w:color="auto"/>
        <w:bottom w:val="none" w:sz="0" w:space="0" w:color="auto"/>
        <w:right w:val="none" w:sz="0" w:space="0" w:color="auto"/>
      </w:divBdr>
    </w:div>
    <w:div w:id="1659461419">
      <w:bodyDiv w:val="1"/>
      <w:marLeft w:val="0"/>
      <w:marRight w:val="0"/>
      <w:marTop w:val="0"/>
      <w:marBottom w:val="0"/>
      <w:divBdr>
        <w:top w:val="none" w:sz="0" w:space="0" w:color="auto"/>
        <w:left w:val="none" w:sz="0" w:space="0" w:color="auto"/>
        <w:bottom w:val="none" w:sz="0" w:space="0" w:color="auto"/>
        <w:right w:val="none" w:sz="0" w:space="0" w:color="auto"/>
      </w:divBdr>
    </w:div>
    <w:div w:id="1829592723">
      <w:bodyDiv w:val="1"/>
      <w:marLeft w:val="0"/>
      <w:marRight w:val="0"/>
      <w:marTop w:val="0"/>
      <w:marBottom w:val="0"/>
      <w:divBdr>
        <w:top w:val="none" w:sz="0" w:space="0" w:color="auto"/>
        <w:left w:val="none" w:sz="0" w:space="0" w:color="auto"/>
        <w:bottom w:val="none" w:sz="0" w:space="0" w:color="auto"/>
        <w:right w:val="none" w:sz="0" w:space="0" w:color="auto"/>
      </w:divBdr>
    </w:div>
    <w:div w:id="1933705841">
      <w:bodyDiv w:val="1"/>
      <w:marLeft w:val="0"/>
      <w:marRight w:val="0"/>
      <w:marTop w:val="0"/>
      <w:marBottom w:val="0"/>
      <w:divBdr>
        <w:top w:val="none" w:sz="0" w:space="0" w:color="auto"/>
        <w:left w:val="none" w:sz="0" w:space="0" w:color="auto"/>
        <w:bottom w:val="none" w:sz="0" w:space="0" w:color="auto"/>
        <w:right w:val="none" w:sz="0" w:space="0" w:color="auto"/>
      </w:divBdr>
      <w:divsChild>
        <w:div w:id="1011835700">
          <w:marLeft w:val="360"/>
          <w:marRight w:val="0"/>
          <w:marTop w:val="0"/>
          <w:marBottom w:val="240"/>
          <w:divBdr>
            <w:top w:val="none" w:sz="0" w:space="0" w:color="auto"/>
            <w:left w:val="none" w:sz="0" w:space="0" w:color="auto"/>
            <w:bottom w:val="none" w:sz="0" w:space="0" w:color="auto"/>
            <w:right w:val="none" w:sz="0" w:space="0" w:color="auto"/>
          </w:divBdr>
        </w:div>
        <w:div w:id="1867981184">
          <w:marLeft w:val="1080"/>
          <w:marRight w:val="0"/>
          <w:marTop w:val="0"/>
          <w:marBottom w:val="240"/>
          <w:divBdr>
            <w:top w:val="none" w:sz="0" w:space="0" w:color="auto"/>
            <w:left w:val="none" w:sz="0" w:space="0" w:color="auto"/>
            <w:bottom w:val="none" w:sz="0" w:space="0" w:color="auto"/>
            <w:right w:val="none" w:sz="0" w:space="0" w:color="auto"/>
          </w:divBdr>
        </w:div>
        <w:div w:id="1639603997">
          <w:marLeft w:val="1080"/>
          <w:marRight w:val="0"/>
          <w:marTop w:val="0"/>
          <w:marBottom w:val="240"/>
          <w:divBdr>
            <w:top w:val="none" w:sz="0" w:space="0" w:color="auto"/>
            <w:left w:val="none" w:sz="0" w:space="0" w:color="auto"/>
            <w:bottom w:val="none" w:sz="0" w:space="0" w:color="auto"/>
            <w:right w:val="none" w:sz="0" w:space="0" w:color="auto"/>
          </w:divBdr>
        </w:div>
      </w:divsChild>
    </w:div>
    <w:div w:id="1938174736">
      <w:bodyDiv w:val="1"/>
      <w:marLeft w:val="0"/>
      <w:marRight w:val="0"/>
      <w:marTop w:val="0"/>
      <w:marBottom w:val="0"/>
      <w:divBdr>
        <w:top w:val="none" w:sz="0" w:space="0" w:color="auto"/>
        <w:left w:val="none" w:sz="0" w:space="0" w:color="auto"/>
        <w:bottom w:val="none" w:sz="0" w:space="0" w:color="auto"/>
        <w:right w:val="none" w:sz="0" w:space="0" w:color="auto"/>
      </w:divBdr>
    </w:div>
    <w:div w:id="1986425757">
      <w:bodyDiv w:val="1"/>
      <w:marLeft w:val="0"/>
      <w:marRight w:val="0"/>
      <w:marTop w:val="0"/>
      <w:marBottom w:val="0"/>
      <w:divBdr>
        <w:top w:val="none" w:sz="0" w:space="0" w:color="auto"/>
        <w:left w:val="none" w:sz="0" w:space="0" w:color="auto"/>
        <w:bottom w:val="none" w:sz="0" w:space="0" w:color="auto"/>
        <w:right w:val="none" w:sz="0" w:space="0" w:color="auto"/>
      </w:divBdr>
    </w:div>
    <w:div w:id="206100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thi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ocpf" TargetMode="External"/><Relationship Id="rId4" Type="http://schemas.openxmlformats.org/officeDocument/2006/relationships/settings" Target="settings.xml"/><Relationship Id="rId9" Type="http://schemas.openxmlformats.org/officeDocument/2006/relationships/hyperlink" Target="mailto:ocpf@cpf.state.ma.u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cosa\Downloads\accessible-microsoft-word-template.dotx" TargetMode="External"/></Relationships>
</file>

<file path=word/theme/theme1.xml><?xml version="1.0" encoding="utf-8"?>
<a:theme xmlns:a="http://schemas.openxmlformats.org/drawingml/2006/main" name="Office Theme">
  <a:themeElements>
    <a:clrScheme name="University Brand Colors">
      <a:dk1>
        <a:sysClr val="windowText" lastClr="000000"/>
      </a:dk1>
      <a:lt1>
        <a:sysClr val="window" lastClr="FFFFFF"/>
      </a:lt1>
      <a:dk2>
        <a:srgbClr val="0E2841"/>
      </a:dk2>
      <a:lt2>
        <a:srgbClr val="E8E8E8"/>
      </a:lt2>
      <a:accent1>
        <a:srgbClr val="005EB8"/>
      </a:accent1>
      <a:accent2>
        <a:srgbClr val="9D2235"/>
      </a:accent2>
      <a:accent3>
        <a:srgbClr val="148071"/>
      </a:accent3>
      <a:accent4>
        <a:srgbClr val="013E7D"/>
      </a:accent4>
      <a:accent5>
        <a:srgbClr val="3AB3FF"/>
      </a:accent5>
      <a:accent6>
        <a:srgbClr val="FCB316"/>
      </a:accent6>
      <a:hlink>
        <a:srgbClr val="0000FF"/>
      </a:hlink>
      <a:folHlink>
        <a:srgbClr val="1681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8474A-FA7D-FE46-A8FB-074FBDB2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accessible-microsoft-word-template</Template>
  <TotalTime>32</TotalTime>
  <Pages>6</Pages>
  <Words>1638</Words>
  <Characters>9375</Characters>
  <Application>Microsoft Office Word</Application>
  <DocSecurity>0</DocSecurity>
  <Lines>137</Lines>
  <Paragraphs>57</Paragraphs>
  <ScaleCrop>false</ScaleCrop>
  <HeadingPairs>
    <vt:vector size="2" baseType="variant">
      <vt:variant>
        <vt:lpstr>Title</vt:lpstr>
      </vt:variant>
      <vt:variant>
        <vt:i4>1</vt:i4>
      </vt:variant>
    </vt:vector>
  </HeadingPairs>
  <TitlesOfParts>
    <vt:vector size="1" baseType="lpstr">
      <vt:lpstr>Sample File for Word Training</vt:lpstr>
    </vt:vector>
  </TitlesOfParts>
  <Manager/>
  <Company/>
  <LinksUpToDate>false</LinksUpToDate>
  <CharactersWithSpaces>10956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 University Employees and Political Campaigns</dc:title>
  <dc:subject/>
  <dc:creator>Evan Pacosa</dc:creator>
  <cp:keywords>Controller's Office - Campus Policies and Memos</cp:keywords>
  <dc:description/>
  <cp:lastModifiedBy>Evan Pacosa</cp:lastModifiedBy>
  <cp:revision>2</cp:revision>
  <dcterms:created xsi:type="dcterms:W3CDTF">2025-10-14T15:55:00Z</dcterms:created>
  <dcterms:modified xsi:type="dcterms:W3CDTF">2025-10-14T17:43:00Z</dcterms:modified>
  <cp:category/>
</cp:coreProperties>
</file>